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P/20328/2020 vom 30. Oktober 2020</w:t>
      </w:r>
    </w:p>
    <w:p>
      <w:r>
        <w:t>GE Cour de justice, 2020-10-30, FR</w:t>
      </w:r>
    </w:p>
    <w:p>
      <w:r>
        <w:rPr>
          <w:b/>
        </w:rPr>
        <w:t xml:space="preserve">Quelle: </w:t>
      </w:r>
      <w:r>
        <w:t>https://mcp.opencaselaw.ch/entscheid/ge_gerichte_P_20328_2020</w:t>
      </w:r>
    </w:p>
    <w:p>
      <w:r>
        <w:t>FR: GE_GERICHTE P/20328/2020 du 30 octobre 2020</w:t>
      </w:r>
    </w:p>
    <w:p>
      <w:r>
        <w:t>IT: GE_GERICHTE P/20328/2020 del 30 ottobre 2020</w:t>
      </w:r>
    </w:p>
    <w:p>
      <w:pPr>
        <w:pStyle w:val="Heading2"/>
      </w:pPr>
      <w:r>
        <w:t>Regeste</w:t>
      </w:r>
    </w:p>
    <w:p>
      <w:r>
        <w:t>NON-ENTREE EN MATIERE;DÉNONCIATION CALOMNIEUSE;SYNDICAT | CPP.310; CPP.303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reprochent au Ministère public de ne pas avoir retenu l'existence d'une dénonciation calomnieuse.</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w:t>
      </w:r>
    </w:p>
    <w:p>
      <w:r>
        <w:rPr>
          <w:b/>
        </w:rPr>
        <w:t>E. 3.2</w:t>
      </w:r>
    </w:p>
    <w:p>
      <w:r>
        <w:t>L'art. 303 ch. 1 al. 1 CP réprime le comportement de celui qui aura dénoncé à l'autorité, comme auteur d'un crime ou d'un délit, une personne qu'il savait innocente, en vue de faire ouvrir contre elle une poursuite pénale.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 Par ailleurs, l'auteur doit agir en vue de faire ouvrir une poursuite pénale contre la personne qu'il accuse injustement. Le dol éventuel suffit quant à cette volonté de faire ouvrir une poursuite pénale (ATF 85 IV 83 ). La preuve de l'intention de l'auteur doit être soumise à des exigences élevées (M. NIGGLI / H. WIPRÄCHTIGER, Basler Kommentar Strafrecht II : Art. 111-392 StGB , 3 ème éd., Bâle 2013, n. 25 ad art. 303 CP).</w:t>
      </w:r>
    </w:p>
    <w:p>
      <w:r>
        <w:rPr>
          <w:b/>
        </w:rPr>
        <w:t>E. 3.3</w:t>
      </w:r>
    </w:p>
    <w:p>
      <w:r>
        <w:t>En l'espèce, le mis en cause a certes été condamné, les 30 janvier 2019 puis 28 octobre suivant, dans le cadre de la procédure civile intentée par les travailleurs. Il a toutefois toujours contesté les prétentions de ceux-ci, durant plus de deux ans, alléguant notamment avoir payé l'intégralité de leurs salaires de main à main, ce qu'il n'a pas réussi à prouver. Or, au moment du dépôt de sa plainte pénale, le 31 juillet 2017, non seulement aucune décision ne constatait qu'il ne s'était pas acquitté de l'intégralité des salaires dus, mais aucune action n'avait encore été intentée contre lui devant la juridiction des prud'hommes, puisque la demande n'a été déposée que le 24 octobre suivant. La plainte visait les propos tenus sur des banderoles devant son restaurant et un article de journal, en juillet 2017. En outre, et surtout, il était accusé par ses employés et le syndicat de menaces pour avoir exhibé une arme de poing, faits qui n'ont pas été prouvés et ont fait l'objet d'une non-entrée en matière. Ainsi, il n'est pas possible de retenir que le mis en cause aurait voulu, en déposant sa plainte, dénoncer les recourants comme auteurs d'une infraction, tout en les sachant pertinemment innocents. Il apparait plutôt qu'il entendait défendre son honneur face à la vive polémique syndicale et les graves accusations de menaces dont il faisait l'objet. Il n'est ainsi pas possible d'exclure la bonne foi du mis en cause au moment du dépôt de sa plainte, étant relevé que les travailleurs n'ont d'ailleurs pas obtenu intégralement gain de cause dans le cadre de la procédure civile. Les éléments constitutifs de l'infraction n'étant pas réunis, le prononcé d'une ordonnance de non-entrée en matière se justifiait. L'ordonnance querellée sera donc confirmée.</w:t>
      </w:r>
    </w:p>
    <w:p>
      <w:r>
        <w:rPr>
          <w:b/>
        </w:rPr>
        <w:t>E. 4</w:t>
      </w:r>
    </w:p>
    <w:p>
      <w:r>
        <w:t>Les recourants, qui succombent, supporteront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