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P/2026/2017 vom 19. Oktober 2018</w:t>
      </w:r>
    </w:p>
    <w:p>
      <w:r>
        <w:t>GE Cour de justice, 2018-10-19, FR</w:t>
      </w:r>
    </w:p>
    <w:p>
      <w:r>
        <w:rPr>
          <w:b/>
        </w:rPr>
        <w:t xml:space="preserve">Quelle: </w:t>
      </w:r>
      <w:r>
        <w:t>https://mcp.opencaselaw.ch/entscheid/ge_gerichte_P_2026_2017</w:t>
      </w:r>
    </w:p>
    <w:p>
      <w:r>
        <w:t>FR: GE_GERICHTE P/2026/2017 du 19 octobre 2018</w:t>
      </w:r>
    </w:p>
    <w:p>
      <w:r>
        <w:t>IT: GE_GERICHTE P/2026/2017 del 19 ottobre 2018</w:t>
      </w:r>
    </w:p>
    <w:p>
      <w:pPr>
        <w:pStyle w:val="Heading2"/>
      </w:pPr>
      <w:r>
        <w:t>Regeste</w:t>
      </w:r>
    </w:p>
    <w:p>
      <w:r>
        <w:t>INJURE ; CONTRAINTE(DROIT PÉNAL) ; VOIES DE FAIT ; LÉSION CORPORELLE SIMPLE ; MENACE(DROIT PÉNAL) ; PEINE PÉCUNIAIRE ; TORT MORAL ; INDEMNITÉ(EN GÉNÉRAL) | CP.177.al1; CP.181; CP.126.al1; CP.123.al1.ch1; CP.180.al1; CP.47; CP.49.al1; CP.34.al1.leta; CP.34.al2.leta; CP.42.al1; CPP.433.al1; CPP.126.al1.leta; CPP.428.al3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prétentions civiles ou certaines d'entre elles (let. d) ; les frais, les indemnités et la réparation du tort moral (let. f). La Chambre limite son examen aux violations décrites dans l'acte d'appel (art. 404 al. 1 CPP), sauf en cas de décisions illégales ou inéquitables (art. 404 al. 2 CPP).</w:t>
      </w:r>
    </w:p>
    <w:p>
      <w:r>
        <w:rPr>
          <w:b/>
        </w:rPr>
        <w:t>E. 2</w:t>
      </w:r>
    </w:p>
    <w:p>
      <w:r>
        <w:t>.2.2. Les voies de fait, réprimées par l'art. 126 CP, se définissent comme des atteintes physiques qui excèdent ce qui est socialement toléré et qui ne causent ni lésion corporelle, ni dommage à la santé. A titre d'exemples, on peut citer la gifle, le coup de poing ou de pied, les fortes bourrades avec les mains ou les coudes. Dans les cas limites, il faut tenir compte de l'importance de la douleur provoquée, afin de déterminer s'il s'agit de lésions corporelles simples ou de voies de fait (ATF 134 IV 189 consid. 1.1 ; 119 IV 25 consid. 2a ; 107 IV 40 consid. 5c et 117 IV 14 consid. 2a ; arrêt du Tribunal fédéral 6B_187/2016 du 28 avril 2016 consid. 2.1). 2.2.3. La distinction entre lésions corporelles et voies de fait peut s'avérer délicate, notamment lorsque l'atteinte s'est limitée à des contusions, meurtrissures, des écorchures ou des griffures. Ainsi, une éraflure au nez avec contusion a été considérée comme une voie de fait ; de même une meurtrissure au bras et une douleur à la mâchoire sans contusion (ATF 134 IV 189 consid. 1.3 ; 119 IV 25 consid. 2a).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ATF 119 IV 25 consid. 2a). 2.2.4.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et 99 IV 212 consid. 1a ; arrêt du Tribunal fédéral 6B_578/2016 du 19 août 2016 consid. 2.1).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 6B_871/2014 du 24 août 2016 consid. 2.2.2 et 6B_820/2011 du 5 mars 2012 consid. 3). 2.2.5.1. 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Pour qu'elle soit consommée, il faut que la victime, sous l'effet de moyens de contrainte illicites, commence à modifier son comportement, subissant ainsi l'influence voulue par l'auteur (arrêt du Tribunal fédéral 6B_719/2016 du 4 mai 2016 consid. 2.1). 2.2.5.2. Il y a également violence lorsque l'auteur soustrait à la victime des moyens d'assistance essentiels ou lorsqu'il porte atteinte à sa liberté de mouvement (M. DUPUIS / L. MOREILLON / C. PIGUET / S. BERGER / M. MAZOU / V. RODIGARI, Petit Commentaire du Code pénal, 2e éd., Bâle 2017, n. 8 ad art. 181) 2.2.5.3. Sur le plan subjectif, il faut que l'auteur ait agi intentionnellement, c'est-à-dire qu'il ait voulu contraindre la victime à adopter le comportement visé en étant conscient de l'illicéité de son comportement ; le dol éventuel suffit (ATF 120 IV 17 consid. 2c). 2.2.5.4. La contrainte prime la menace. Lorsque des menaces au sens de cette disposition ont été un moyen de pression pour obliger autrui à faire, à ne pas faire ou à laisser faire un acte, seul l'art. 181 CP s'applique (M. DUPUIS et al , op.cit . n. 41 ad art. 181 et références citées). 2.2.5.5. Les infractions contre la vie ou l'intégrité corporelle l'emportent sur la contrainte, lorsque celle-ci est purement accessoire à la commission de ces infractions; toutefois, lorsque la contrainte peut être considérée comme un comportement suffisamment distinct de l'infraction d'atteinte à l'intégrité corporelle pour être réprimée séparément, notamment en raison de sa durée et de son intensité, il y a concours entre les deux infractions (M. DUPUIS et al , op.cit . n. 42 ad art. 181 et références citées). 2.2.6. Selon l’art. 177 al. 1 CP, celui qui aura, par la parole, l’écriture, l’image, le geste ou par des voies de fait, attaqué autrui dans son honneur sera, sur plainte, puni d’une peine pécuniaire de 90 jours-amende au plus.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Tribunal fédéral 6B_229/2016 du 8 juin 2016 consid. 2.1.2). Du point de vue subjectif, il suffit que l’auteur ait eu conscience du caractère attentatoire à l’honneur de ses propos et qu’il les ait proférés néanmoins ; il n’est pas nécessaire qu’il ait eu la volonté de blesser la personne visée (ATF 119 IV 44 consid. 2a).</w:t>
      </w:r>
    </w:p>
    <w:p>
      <w:r>
        <w:rPr>
          <w:b/>
        </w:rPr>
        <w:t>E. 2.3</w:t>
      </w:r>
    </w:p>
    <w:p>
      <w:r>
        <w:t>En l'espèce, il est établi que l'appelant et l'intimée se sont violemment disputés les 3 et 9 décembre 2016, dans un contexte de tensions et d'incompréhension au sein de leur couple, celle-ci décrivant une relation " toxique " faite d'abus et d'humiliations de la part de son compagnon, alors que celui-là a expliqué avoir entretenu une relation de couple normale avec l'intimée. L'intimée a livré un récit complet et détaillé des évènements. Bien que ses déclarations aient gagné en intensité au fur et à mesure de la procédure, avec un deuxième épisode d'étranglement et une nouvelle menace de mort évoquées lors de l'audience de jugement, elles ont été corroborées en partie par des tiers, soit par le témoin J______ et la mère de l'appelant, selon les propres dires de celui-ci. Les séquelles - physiques et psychologiques - subies par l'intéressée, lesquelles ont été médicalement attestées, viennent également corroborer sa version des faits. Une partie de ses accusations a fait l'objet d'un classement par le Ministère public, compte tenu des versions contradictoires des parties et de l'absence d'éléments objectifs permettant de corroborer l'une ou l'autre, ce qui ne signifie pas encore que la jeune femme a menti. Aucun élément du dossier ne permet de conclure qu'elle aurait eu un intérêt quelconque à accuser l'appelant à tort. Tous ces éléments donnent aux déclarations de l'intimée une force probante importante. Les premières déclarations de l'appelant à la police, qui semblaient sincères, correspondent partiellement aux faits décrits par l'intimée, ce qui les rend d'autant plus crédibles. L'appelant a ensuite beaucoup varié dans ses explications, revenant, en particulier, sur les raisons de son énervement dans la voiture le</w:t>
      </w:r>
    </w:p>
    <w:p>
      <w:r>
        <w:rPr>
          <w:b/>
        </w:rPr>
        <w:t>E. 2.3.1</w:t>
      </w:r>
    </w:p>
    <w:p>
      <w:r>
        <w:t>L'appelant a bien traité l'intimée de " pute " le 9 décembre 2016, dès lors qu'il a, devant la police, concédé que sa propre mère avait entendu ce mot dans sa bouche à l'attention de celle qui avait été sa compagne. L'appelant fait preuve de mauvaise foi lorsqu'il prétend que sa mère, dont la langue maternelle est l'espagnol, ne comprendrait pas bien le français, tant la similarité de cette insulte dans les deux langues est grande. Enfin, quand bien-même la capture d'écran produite par l'appelant correspondrait au profil " K______" de l'intimée, il est manifeste qu'en employant le terme de " pute " dans un contexte conflictuel, l'appelant avait l'intention de la dénigrer. Il n'y a pas de comparaison possible avec des échanges sur le ton de la plaisanterie, sans doute de mauvais goût, entre deux amies. Au vu de ce qui précède, l'appelant doit être reconnu coupable d'injure et le jugement confirmé sur ce point.</w:t>
      </w:r>
    </w:p>
    <w:p>
      <w:r>
        <w:rPr>
          <w:b/>
        </w:rPr>
        <w:t>E. 2.3.2</w:t>
      </w:r>
    </w:p>
    <w:p>
      <w:r>
        <w:t>L'appelant a admis avoir insisté pour " retenir " son ancienne amie dans sa chambre le 9 décembre 2016, en la tirant en arrière pour l'empêcher d'atteindre la porte, ce qui est corroboré par les déclarations - crédibles - de l'intimée à teneur desquelles celui-ci l'a effectivement empêchée de sortir de la chambre en la repoussant à plusieurs reprises, allant jusqu'à la pousser sur le lit et se positionner sur elle pour la retenir " lui faisant peut-être mal au passage ", puis en se mettant devant la porte, après lui avoir expliqué que le seul moyen de sortir était de sauter par la fenêtre. L'appelant, qui a reconnu avoir très mal vécu sa rupture avec l'intimée au point de prendre plusieurs comprimés de N______ pour se calmer, avait, selon ses propres aveux, adopté un comportement qui ne lui ressemblait pas et, en particulier, "mal parlé " à l'intimée. Il a également admis que cette dernière lui avait avoué avoir peur de lui, puis avait fait une crise d'angoisse et s'était mise à pleurer. Au vu de ce qui précède, il est hautement crédible que l'appelant ait proféré des menaces à l'encontre de l'intimée alors qu'ils se trouvaient dans la chambre, d'où son angoisse, ce que cette dernière a soutenu, de manière crédible, tout au long de la procédure, allant jusqu'à répéter la devinette au moyen de laquelle il l'avait menacée de mort. L'appelant ne convainc pas lorsqu'il prétend avoir agi uniquement pour se défendre en se positionnant au-dessus de l'intimée et en lui tenant les mains, dans la mesure où il aurait pu se contenter de s'écarter et la laisser tranquille, si telle avait été son intention. Enfin, il est peu probable que l'intimée serait restée de son propre chef dans la chambre de son ex-compagnon, alors qu'elle venait de rompre avec lui et que celui-ci était " excité, furieux et énervé ", comme relevé par la mère de l'appelant et rapporté par ce dernier. Ainsi, l'appelant a usé non seulement de violence, mais également de menaces et de pressions psychologiques qui ont impressionné l'intimée au point qu'elle s'est sentie obligée de demeurer dans la chambre, contre sa volonté, ne parvenant à en sortir que lorsque les parents de l'appelant y ont fait irruption. L'appelant doit par conséquent être reconnu coupable de contrainte et le jugement confirmé sur ce point.</w:t>
      </w:r>
    </w:p>
    <w:p>
      <w:r>
        <w:rPr>
          <w:b/>
        </w:rPr>
        <w:t>E. 2.3.3</w:t>
      </w:r>
    </w:p>
    <w:p>
      <w:r>
        <w:t>Les menaces évoquées supra sont absorbées par l'infraction de contrainte (cf. consid. 2.3.2.). L'intimée s'est aussi plainte, devant les premiers juges, d'avoir été à nouveau menacée de mort après avoir quitté la chambre, l'appelant ayant mimé à son attention un égorgement dans le reflet du miroir de la salle de bains. Invoqué tardivement, cet élément n'a pas pu être pris en considération dans l'ordonnance pénale du 27 septembre 2017. La Cour de céans ne peut par conséquent retenir qu'une nouvelle menace a été proférée par l'appelant, sous peine de violer le principe d'accusation. Pour ces motifs, il convient d'acquitter l'appelant du chef de menaces et de réformer le jugement sur ce point.</w:t>
      </w:r>
    </w:p>
    <w:p>
      <w:r>
        <w:rPr>
          <w:b/>
        </w:rPr>
        <w:t>E. 2.3.4</w:t>
      </w:r>
    </w:p>
    <w:p>
      <w:r>
        <w:t>Lors de sa première audition, l'appelant a avoué avoir tiré le bras de l'intimée à deux ou trois reprises dans le parking le 3 décembre 2016, afin de l'empêcher de s'en aller et l'avoir " plaquée " contre un mur. Il l'avait également prise par la mâchoire. Bien que l'appelant soit revenu sur ses premières déclarations, ses dénégations n'emportent pas conviction. En effet, il semble peu probable que, comme il le prétend, l'intimée se soit " plaquée " toute seule contre le mur qui se trouvait derrière elle alors qu'elle voulait s'enfuir. A cela s'ajoute qu'immédiatement après les faits incriminés, l'appelant a ressenti le besoin d'aller s'excuser auprès de l'intimée, ce qui démontre qu'il considérait que ses actes étaient fautifs, et non ceux de son amie. La contracture paravertébrale, les courbatures diffuses, la douleur à la mastication, ainsi que l'égratignure à la main gauche et l'hématome au pouce droit constatés chez l'intimée sont compatibles avec les faits décrits par cette dernière et révélateurs d'une altercation physique dépassant ce qui est socialement toléré, mais constituent des lésions superficielles qui ne l'ont affectée que de manière passagère. L'infraction de voies de fait est donc réalisée.</w:t>
      </w:r>
    </w:p>
    <w:p>
      <w:r>
        <w:rPr>
          <w:b/>
        </w:rPr>
        <w:t>E. 2.3.5</w:t>
      </w:r>
    </w:p>
    <w:p>
      <w:r>
        <w:t>Le jugement querellé, à l'instar de l'ordonnance pénale et de non entrée en matière du 27 septembre 2017, ne décrivent pas clairement les faits fondant la culpabilité de l'appelant pour chaque chef d'infraction. En particulier, on ignore si le Ministère public et le premier juge ont estimé qu'en retenant l'intimée par le bras le</w:t>
      </w:r>
    </w:p>
    <w:p>
      <w:r>
        <w:rPr>
          <w:b/>
        </w:rPr>
        <w:t>E. 2.3.6</w:t>
      </w:r>
    </w:p>
    <w:p>
      <w:r>
        <w:t>Il ne peut être retenu, au-delà de tout doute raisonnable, que l'appelant a causé des lésions corporelles à l'intimée le 9 décembre 2016, les certificats médicaux produits ne faisant état d'aucune lésion entraînant une atteinte importante à son intégrité corporelle. A cet égard, il est possible que l'intimée, qui venait d'avoir une crise d'angoisse, ait subitement paniqué, manqué d'air et vu " tout noir ", comme elle l'a décrit, lorsque l'appelant s'est positionné sur elle, ce qui lui a donné l'impression d'être étranglée. Il y a par conséquent lieu d'acquitter l'appelant du chef d'infraction de l'art. 123 CP et de réformer le jugement querellé sur ce point.</w:t>
      </w:r>
    </w:p>
    <w:p>
      <w:r>
        <w:rPr>
          <w:b/>
        </w:rPr>
        <w:t>E. 2.4</w:t>
      </w:r>
    </w:p>
    <w:p>
      <w:r>
        <w:t>En conclusion, l'appelant sera reconnu coupable de voies de fait pour avoir, le</w:t>
      </w:r>
    </w:p>
    <w:p>
      <w:r>
        <w:rPr>
          <w:b/>
        </w:rPr>
        <w:t>E. 3</w:t>
      </w:r>
    </w:p>
    <w:p>
      <w:r>
        <w:t>3.1. L'infraction de contrainte est sanctionnée par une peine privative de liberté de trois ans au plus ou d'une peine pécuniaire et celle d'injure d'une peine pécuniaire de 90 jours-amende au plus. L'infraction à l'art. 126 al. 1 CP est passible d'une 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2016 consid. 1.2). 3.2.2.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3.2.3. Selon la jurisprudence, pour apprécier la situation personnelle, le juge peut prendre en considération le comportement postérieurement à l'acte et au cours de la procédure pénale et notamment l'existence ou l'absence de repentir après l'acte et la volonté de s'amender (ATF 118 IV 21 consid. 2b ; arrêts du Tribunal fédéral 6B_334/2009 du 20 juillet 2009 consid. 2.1 et 6B_992/2008 du 5 mars 2009 consid. 5.2.). 3.2.4. Le nouveau droit des sanctions en vigueur depuis le 1er janvier 2018 n’étant pas plus favorable à l’appelant en relation avec la peine pécuniaire contestée, il n’en sera pas fait application (art. 2 al. 2 CP " a contrario "). Conformément à l'art. 34 al. 1 aCP, la peine pécuniaire est fixée en jours-amende, 360 au maximum, dont le tribunal fixe le nombre en fonction de la culpabilité de l'auteur. Selon l’art. 34 al. 2 aCP,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 économique réelle de fournir une prestation qui est déterminante (ATF 142 IV 315 consid. 5.3.1). Toutefois, si l'auteur réalise des revenus inférieurs à ceux qu'il atteindrait s'il faisait les efforts que l'on peut raisonnablement exiger de lui, le juge doit alors se fonder sur le revenu potentiel de l'auteur. A cet égard, le mode de vie choisi par ce dernier doit être pris en considération. Cette hypothèse doit être distinguée de celle où l'intéressé ne fournit pas d'informations ou fournit des explications non crédibles s'agissant de ses revenus et que celles fournies par les autorités ne sont pas concluantes. Dans cette dernière configuration, il convient d'imputer à l'auteur un revenu hypothétique estimé à partir de son train de vie (ATF 134 IV 60 consid. 6.1 ; arrêt du Tribunal fédéral 6B_530/2017 du 9 février 2018 consid. 2.2). 3.2.6. 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3.3</w:t>
      </w:r>
    </w:p>
    <w:p>
      <w:r>
        <w:t>La faute de l'appelant est relativement importante, puisqu'il a agi lâchement, pour des motifs purement futiles et égoïstes, relevant d'un comportement possessif à l'égard de celle qu'il considérait encore comme sa compagne, en faisant fi des répercussions sérieuses que de tels actes pouvaient avoir sur elle et, en particulier, sur son état psychologique. L'appelant a agi à plusieurs reprises en six jours, cumulant les chefs de voies de fait, contrainte et injure. Il appert cependant que les faits, qui relèvent de deux disputes mal maîtrisées, se sont déroulés dans un contexte déjà conflictuel et que l'appelant, qui était alcoolisé lors de la première et avait pris des médicaments le 9 décembre 2016, était en proie à une profonde tristesse du fait de sa rupture avec l'intimée. Sa situation personnelle ne justifie aucunement ses agissements et sa collaboration doit être qualifiée, au mieux, de moyenne, car s'il a reconnu d'emblée une partie des actes qui lui sont reprochés, soit en particulier s'être violemment disputé avec l'intimée les 3 et 9 décembre 2016, il est ensuite partiellement revenu sur ses premières déclarations. Il n'a ni évoqué des regrets ni présenté des excuses à l'intimée durant la procédure et ne semble pas avoir pris la mesure de ses actes. Il y a concours d'infractions entre la contrainte et l'injure, ce qui justifie d'augmenter la peine de l'infraction la plus grave, en l'occurrence la contrainte. L'appelant n'a pas d'antécédents, ce qui est toutefois un élément neutre sur la fixation de la peine (ATF 136 IV 1 consid. 2.6.4). Au vu de ces éléments et des acquittements prononcés pour les chefs de lésions corporelles et de menaces, il se justifie de prononcer une peine pécuniaire de 30 jours-amende à CHF 30.- ce montant tenant compte de la situation financière de l’appelant, ce que ce dernier ne conteste d'ailleurs pas. Le sursis lui est acquis. L'amende qui a été infligée à l'appelant par les premiers juges pour les voies de fait est justifiée et sera par conséquent confirmée.</w:t>
      </w:r>
    </w:p>
    <w:p>
      <w:r>
        <w:rPr>
          <w:b/>
        </w:rPr>
        <w:t>E. 4.1</w:t>
      </w:r>
    </w:p>
    <w:p>
      <w:r>
        <w:t>En vertu de l'art. 126 al. 1 let. a CPP, le tribunal statue sur les conclusions civiles présentées lorsqu’il rend un verdict de culpabilité à l’encontre du prévenu.</w:t>
      </w:r>
    </w:p>
    <w:p>
      <w:r>
        <w:rPr>
          <w:b/>
        </w:rPr>
        <w:t>E. 4.2</w:t>
      </w:r>
    </w:p>
    <w:p>
      <w:r>
        <w:t>Le principe d'une indemnité pour tort moral doit être admis, vu les conséquences que les actes reprochés à l'appelant ont eu sur le bien-être de l'intimée, comme cela ressort des certificats médicaux produits. Les faits ont eu d'autant plus d'impact que l'intimée était jeune et qu'il s'agissait de sa première véritable relation sentimentale. Nonobstant les acquittements prononcés, le montant de CHF 2'000.- fixé par le premier juge - dont la quotité n'a pas été discutée par l'appelant - demeure adéquat au vu des séquelles constatées, de sorte qu'il sera confirmé.</w:t>
      </w:r>
    </w:p>
    <w:p>
      <w:r>
        <w:rPr>
          <w:b/>
        </w:rPr>
        <w:t>E. 5</w:t>
      </w:r>
    </w:p>
    <w:p>
      <w:r>
        <w:t>5.1.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Strafprozessordnung /Schweizerische Jugendstrafprozessordnung, Basler Kommentar StPO/JStPO , Bâle 2011, n. 6 ad art. 433 ; N. SCHMID, Schweizerische Strafprozessordnung : Praxiskommentar ,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Bâle 2011 , n. 8 ad art. 433 ; N. SCHMID, op. cit . n. 3 ad art. 433).</w:t>
      </w:r>
    </w:p>
    <w:p>
      <w:r>
        <w:rPr>
          <w:b/>
        </w:rPr>
        <w:t>E. 5.2</w:t>
      </w:r>
    </w:p>
    <w:p>
      <w:r>
        <w:t>Les honoraires d'avocat doivent être proportionnés (N. SCHMID, op.cit. ,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2e éd., Bâle 2014, n. 19 ad art. 429).</w:t>
      </w:r>
    </w:p>
    <w:p>
      <w:r>
        <w:rPr>
          <w:b/>
        </w:rPr>
        <w:t>E. 5.3</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ACPR/178/2016 du 23 mars 2016 consid. 2.1).</w:t>
      </w:r>
    </w:p>
    <w:p>
      <w:r>
        <w:rPr>
          <w:b/>
        </w:rPr>
        <w:t>E. 5.4</w:t>
      </w:r>
    </w:p>
    <w:p>
      <w:r>
        <w:t>En l'espèce, l'intimée a obtenu gain de cause sur la question de la culpabilité de l'intimée pour injure, contrainte et voies de fait, ainsi que sur ses conclusions en tort moral. Elle a en revanche succombé s'agissant des infractions de lésions corporelles et de menaces, ce qui n'a pas d'influence sur les frais engagés, au vu des trois autres chefs d'infraction. L'activité déployée par son conseil - laquelle n'a, au demeurant, pas été critiquée par l'appelant - est en adéquation avec la nature et la difficulté de l'affaire, référence étant faite au surplus à la notion de juste indemnité consacrée à l'art. 433 CPP, sous réserve de la durée de l'audience d'appel, qui doit être fixée à une heure et dix minutes. En conclusion, l'appelant sera condamné à verser à l'intimée une indemnité correspondant aux trois cinquièmes de ses frais de défense, lesquels s'élèvent, pour la procédure de première instance à CHF 8'255.05, TVA à 8% jusqu'au 31 décembre 2017 (CHF 426.25) et 7.7% à compter du 1 er janvier 2018 (CHF 178.80) incluse, ainsi qu'à CHF 1'777.05, TVA à 7.7% (CHF 127.05) incluse, pour la procédure d'appel.</w:t>
      </w:r>
    </w:p>
    <w:p>
      <w:r>
        <w:rPr>
          <w:b/>
        </w:rPr>
        <w:t>E. 6</w:t>
      </w:r>
    </w:p>
    <w:p>
      <w:r>
        <w:t>6.1. Dans le cadre du recours, les frais de la procédure sont mis à la charge des parties dans la mesure où elles ont obtenu gain de cause ou succombé (art. 428 al. 1 CPP).</w:t>
      </w:r>
    </w:p>
    <w:p>
      <w:r>
        <w:rPr>
          <w:b/>
        </w:rPr>
        <w:t>E. 6.2</w:t>
      </w:r>
    </w:p>
    <w:p>
      <w:r>
        <w:t>Si l’autorité de recours rend elle-même une nouvelle décision, elle se prononce également sur les frais fixés par l’autorité inférieure (art. 428 al. 3 CPP).</w:t>
      </w:r>
    </w:p>
    <w:p>
      <w:r>
        <w:rPr>
          <w:b/>
        </w:rPr>
        <w:t>E. 6.3</w:t>
      </w:r>
    </w:p>
    <w:p>
      <w:r>
        <w:t>Vu l'issue de la procédure, l'appelant, qui n'obtient gain de cause que sur deux des cinq infractions reprochées, supportera les trois cinquièmes des frais de première instance et d'appel (art. 428 CPP), comprenant, dans leur totalité, un émolument de CHF 2'000.-, le solde étant laissé à la charge de l'État (art. 428 al. 2 let. b CPP ; art. 14 al. 1 let. e du Règlement fixant le tarif des frais en matière pénale [RTFMP – E 4 10.03]).</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w:t>
      </w:r>
    </w:p>
    <w:p>
      <w:r>
        <w:rPr>
          <w:b/>
        </w:rPr>
        <w:t>E. 7.2</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collaborateur CHF 150.- (let. b) et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7.3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7.4</w:t>
      </w:r>
    </w:p>
    <w:p>
      <w:r>
        <w:t>Reprenant l'activité de taxation suite à l'entrée en vigueur du CPP, la CPAR a maintenu dans son principe – nonobstant l'ordonnance de la Cour des plaintes du Tribunal pénal fédéral BB.2016.35 du 3 août 2016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6B_838/2016 du 25 juillet 2016 consid. 3.5.2). Des exceptions demeurent possibles, charge à l'avocat de justifier l'ampleur d'opérations dont la couverture ne serait pas assurée par le forfait.</w:t>
      </w:r>
    </w:p>
    <w:p>
      <w:r>
        <w:rPr>
          <w:b/>
        </w:rPr>
        <w:t>E. 7.5</w:t>
      </w:r>
    </w:p>
    <w:p>
      <w:r>
        <w:t>Le temps de déplacement de l'avocat est considéré comme nécessaire pour la défense d'office au sens de l'art. 135 CPP (décision de la Cour des plaintes du Tribunal pénal fédéral BB.2016.33 du 28 juillet 2016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BB.2016.44 du 27 octobre 2016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75.- pour les collaborateurs, dite rémunération étant allouée d'office pour la juridiction d'appel pour les débats devant elle.</w:t>
      </w:r>
    </w:p>
    <w:p>
      <w:r>
        <w:rPr>
          <w:b/>
        </w:rPr>
        <w:t>E. 7.6</w:t>
      </w:r>
    </w:p>
    <w:p>
      <w:r>
        <w:t>En l'occurrence, l'état de frais produit par M e C______, considéré dans sa globalité, paraît adéquat et conforme aux principes applicables en la matière, à l'exception du temps consacré à la rédaction de l'annonce et de la déclaration d'appel, dès lors qu'il s'agit d'activités couvertes par le forfait pour activités diverses, et du temps estimé pour l'audience d'appel, qu'il y a lieu de ramener à une heure et dix minutes. Il y a également lieu de couvrir la vacation relative aux débats d'appel à CHF 75.-. Ainsi, l'indemnité sera arrêtée à CHF 1'475.50, correspondant à 50 minutes d'activité de chef d'étude au tarif de CHF 200.-/heure et six heures et cinq minutes d'activité de collaborateur, plus la majoration forfaitaire de 20 % (CHF 215.83), la vacation (CHF 75.-) ainsi que l'équivalent de la TVA au taux de 7.7% (CHF 105.49).</w:t>
      </w:r>
    </w:p>
    <w:p>
      <w:r>
        <w:rPr>
          <w:b/>
        </w:rPr>
        <w:t>E. 8</w:t>
      </w:r>
    </w:p>
    <w:p>
      <w:r>
        <w:t>Par souci de clarté, le dispositif sera entièrement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