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P/20203/2015 vom 2. November 2015</w:t>
      </w:r>
    </w:p>
    <w:p>
      <w:r>
        <w:t>GE Cour de justice, 2015-11-02, FR</w:t>
      </w:r>
    </w:p>
    <w:p>
      <w:r>
        <w:rPr>
          <w:b/>
        </w:rPr>
        <w:t xml:space="preserve">Quelle: </w:t>
      </w:r>
      <w:r>
        <w:t>https://mcp.opencaselaw.ch/entscheid/ge_gerichte_P_20203_2015</w:t>
      </w:r>
    </w:p>
    <w:p>
      <w:r>
        <w:t>FR: GE_GERICHTE P/20203/2015 du 2 novembre 2015</w:t>
      </w:r>
    </w:p>
    <w:p>
      <w:r>
        <w:t>IT: GE_GERICHTE P/20203/2015 del 2 novembre 2015</w:t>
      </w:r>
    </w:p>
    <w:p>
      <w:pPr>
        <w:pStyle w:val="Heading2"/>
      </w:pPr>
      <w:r>
        <w:t>Regeste</w:t>
      </w:r>
    </w:p>
    <w:p>
      <w:r>
        <w:t>DIFFAMATION | CPP.310; CP.14; CP.173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partie plaignante qui, partie à la procédure (art. 104 al. 1 let. b CPP), a qualité pour agir, ayant un intérêt juridiquement protégé à la modification ou à l'annulation de la décision querellée (art. 382 al. 1 CPP).![endif]&gt;![if&gt;</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![endif]&gt;![if&gt; Le principe " in dubio pro duriore "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 Une non-entrée en matière s'impose lorsque le litige est de nature purement civile (ATF 137 IV 285 consid. 2.3 p. 287).</w:t>
      </w:r>
    </w:p>
    <w:p>
      <w:r>
        <w:rPr>
          <w:b/>
        </w:rPr>
        <w:t>E. 2.2</w:t>
      </w:r>
    </w:p>
    <w:p>
      <w:r>
        <w:t>La diffamation, décrite à l’art. 173 CP, est un délit de mise en danger abstraite (ATF 103 IV 22 consid. 7), qui protège le droit de chacun de ne pas être considéré comme une personne méprisable (ATF 124 IV 262 consid. 2; ATF 114 IV 1 consid. 2a).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 128 IV 58 consid. 1a ; 117 IV 28 s. consid. 2c ; 116 IV 206 consid. 2). Le contexte dans lequel les propos incriminés ont été prononcés est important (ATF 116 IV 146 consid. 3c).</w:t>
      </w:r>
    </w:p>
    <w:p>
      <w:r>
        <w:rPr>
          <w:b/>
        </w:rPr>
        <w:t>E. 2.3</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(art. 55 al. 1 CPC notamment)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arrêt du Tribunal fédéral 6B_575/2015 du 27 avril 2016 consid. 3.1; B. CORBOZ, Les infractions en droit suisse, Vol. I, 3ème éd. Berne 2010, p. 605 et les références citées).</w:t>
      </w:r>
    </w:p>
    <w:p>
      <w:r>
        <w:rPr>
          <w:b/>
        </w:rPr>
        <w:t>E. 2.4</w:t>
      </w:r>
    </w:p>
    <w:p>
      <w:r>
        <w:t>En l'occurrence, les passages reprochés sont en rapport avec les relations personnelles du recourant et de ses enfants avec la pupille de l'intimé et non avec la procédure de partage de l'indivision en E______. Le recourant demandait que le prévenu soit relevé de sa mission de curateur au motif que le précité s'opposait à ce que sa famille et lui-même entretiennent des relations personnelles avec leur mère. Il lui reprochait un " comportement indigne " consistant à faire systématiquement obstacle aux contacts entre lui-même, sa famille et la pupille, et d'avoir installé un véritablement cloisonnement. Il s'agit là d'accusations graves. Dans sa réponse au TPAE, le prévenu, qui s'opposait à la levée de sa mission de curateur, devait donner des explications précises sur les raisons pour lesquelles il avait refusé que son frère et son neveu entretiennent certaines relations avec leur mère. Ces explications étaient nécessairement peu susceptibles de plaire au recourant. Cela étant, dire de quelqu'un qu'il entretient avec son parent des relations intéressées par l'argent n'est pas en soi attentatoire à l'honneur (à la différence par exemple du comportement consistant à isoler une dame âgée pour lui soutirer son argent en exploitant son état de faiblesse, ce qui est assurément méprisable : ATF 117 IV 27 consid. 2 c). Par contre, prétendre que quelqu'un a commis un faux consistant à imiter la signature de leur mère sur un acte de cautionnement, est attentatoire à l'honneur. Cela étant, le prévenu pouvait, voire devait, faire état des pressions que subissait, selon lui, sa pupille, que ce soit parce qu'il avait surpris de telles situations entre les personnes concernées à une période où elle avait encore sa capacité de discernement, ou parce qu'il en avait le soupçon, ce qu'il a fait en utilisant le conditionnel s'agissant de l'imitation de la signature sur l'acte de cautionnement. Ces informations étaient à l'évidence nécessaires et pertinentes pour permettre au TPAE, chargé de protéger la personne âgée, de prendre des décisions en toute connaissance de la situation. Partant, c'est à juste titre que le Ministère public a retenu l'application de l'art. 14 CP.</w:t>
      </w:r>
    </w:p>
    <w:p>
      <w:r>
        <w:rPr>
          <w:b/>
        </w:rPr>
        <w:t>E. 2.5</w:t>
      </w:r>
    </w:p>
    <w:p>
      <w:r>
        <w:t>Le recours s'avère ainsi infondé et doit être rejeté</w:t>
      </w:r>
    </w:p>
    <w:p>
      <w:r>
        <w:rPr>
          <w:b/>
        </w:rPr>
        <w:t>E. 3</w:t>
      </w:r>
    </w:p>
    <w:p>
      <w:r>
        <w:t>Le recourant, qui succombe, supportera les frais envers l'État, qui comprendront un émolument de décision (art. 428 al. 1 CPP et 13 al. 1 du Règlement fixant le tarif des frais en matière pénale, RTFMP ; E 4 10.03), fixés en totalité à CHF 800.-.</w:t>
      </w:r>
    </w:p>
    <w:p>
      <w:r>
        <w:rPr>
          <w:b/>
        </w:rPr>
        <w:t>E. 4</w:t>
      </w:r>
    </w:p>
    <w:p>
      <w:r>
        <w:t>Le prévenu, qui obtient gain de cause, a sollicité des dépens, sans pour autant les chiffrer, ni les documenter.</w:t>
      </w:r>
    </w:p>
    <w:p>
      <w:r>
        <w:rPr>
          <w:b/>
        </w:rPr>
        <w:t>E. 4.1</w:t>
      </w:r>
    </w:p>
    <w:p>
      <w:r>
        <w:t>Conformément à l'art. 436 al. 2 CPP, le prévenu qui obtient gain de cause dans la procédure de recours a droit à une juste indemnité pour ses dépenses. Ses prétentions sont régies par les art. 429 à 434 CPP.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Dans le cas présent, les écritures du prévenu consistent en un acte de cinq pages sans difficulté juridique particulière. Dans ces conditions, il y a lieu de considérer que la défense raisonnable des intérêts du prévenu ne nécessitait pas davantage que deux heures d'activité, au tarif horaire de CHF 450.-, soit un montant maximum de CHF 972.- TTC. Cette indemnité sera mise à la charge de l'Etat conformément à la jurisprudence du Tribunal fédéral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