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P/20201/2015 vom 15. April 2019</w:t>
      </w:r>
    </w:p>
    <w:p>
      <w:r>
        <w:t>GE Cour de justice, 2019-04-15, FR</w:t>
      </w:r>
    </w:p>
    <w:p>
      <w:r>
        <w:rPr>
          <w:b/>
        </w:rPr>
        <w:t xml:space="preserve">Quelle: </w:t>
      </w:r>
      <w:r>
        <w:t>https://mcp.opencaselaw.ch/entscheid/ge_gerichte_P_20201_2015</w:t>
      </w:r>
    </w:p>
    <w:p>
      <w:r>
        <w:t>FR: GE_GERICHTE P/20201/2015 du 15 avril 2019</w:t>
      </w:r>
    </w:p>
    <w:p>
      <w:r>
        <w:t>IT: GE_GERICHTE P/20201/2015 del 15 aprile 2019</w:t>
      </w:r>
    </w:p>
    <w:p>
      <w:pPr>
        <w:pStyle w:val="Heading2"/>
      </w:pPr>
      <w:r>
        <w:t>Regeste</w:t>
      </w:r>
    </w:p>
    <w:p>
      <w:r>
        <w:t>PRINCIPE DE LA TERRITORIALITÉ ; NE BIS IN IDEM ; IN DUBIO PRO REO ; VOL(DROIT PÉNAL) ; PAR MÉTIER ; AFFILIATION À UNE BANDE ; DOMMAGES À LA PROPRIÉTÉ(DROIT PÉNAL) ; VIOLATION DE DOMICILE ; LEX MITIOR ; FIXATION DE LA PEINE ; CONCOURS D'INFRACTIONS ; DÉFENSE D'OFFICE | CP.3; CPP.11; CPP.10; CP.139; CP.144.al1; CP.186; CP.2; CP.47; CP.49.al1; CPP.135</w:t>
      </w:r>
    </w:p>
    <w:p>
      <w:pPr>
        <w:pStyle w:val="Heading2"/>
      </w:pPr>
      <w:r>
        <w:t>Erwägungen</w:t>
      </w:r>
    </w:p>
    <w:p>
      <w:r>
        <w:rPr>
          <w:b/>
        </w:rPr>
        <w:t>E. 1.1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En l'espèce, faute d'appel sur ce point,la culpabilité de l'appelant A______ pour vols aggravés dans les cas F______ et G______-H______, et pour vols aggravés, dommages à la propriété et violation de domicile, dans les 17 cas de cambriolages retenus à son encontre (cf. supra , au point A. d.a), est acquise, seule la peine qui lui a été infligée à ce titre étant remise en cause.</w:t>
      </w:r>
    </w:p>
    <w:p>
      <w:r>
        <w:rPr>
          <w:b/>
        </w:rPr>
        <w:t>E. 2.1</w:t>
      </w:r>
    </w:p>
    <w:p>
      <w:r>
        <w:t>Selon l'art. 3 al. 1 CP, le Code pénal est applicable à quiconque commet un crime ou un délit en Suisse.Un crime ou un délit est réputé commis tant au lieu où l'auteur a agi ou aurait dû agir qu'au lieu où le résultat s'est produit (art. 8 al. 1 CP). En vertu de l'art. 3 al. 2 CP, si, en raison d'un tel acte, l'auteur a été condamné à l'étranger et qu'il y a subi la totalité ou une partie de la peine prononcée contre lui, le juge impute la peine subie sur la peine à prononcer. L'art. 3 CP consacre le principe de territorialité. Il s'agit du principe de base applicable en droit pénal international, selon lequel la compétence pour connaître d'une infraction ressortit à l'Etat sur le territoire duquel cette dernière a été commise (ATF 121 IV 145 consid. 2b/bb p. 148 s. ; ATF 108 IV 145 consid. 3 p. 146). Ledit principe s'impose pour des motifs d'équité d'une part et d'économie de procédure d'autre part, car c'est au lieu de commission de l'infraction que l'administration des preuves est susceptible de fournir les résultats les plus probants (arrêt du Tribunal fédéral 6B_1120/2016 du 23 juillet 2018 consid. 2.3.1 destiné à la publication ; arrêt 6B_21/2009 du 19 mai 2009 consid. 1.1 et les références). Conformément à cette disposition, la Suisse revendique la compétence de ses tribunaux en cas d'infraction commise sur son territoire (ATF 108 IV 145 consid. 2 p. 146 ; arrêts du Tribunal fédéral 6B_659/2014 du 22 décembre 2017 consid. 6.1 ; 6B_549/2013 du 24 février 2014 consid. 5.1). Toutefois, cette règle est atténuée par certains principes en vertu desquels le droit et les jugements étrangers doivent être pris en considération par le juge suisse. La problématique sous-jacente est celle du risque de double condamnation auquel est exposé l'auteur d'une infraction ressortissant à la compétence de deux, voire de plusieurs Etats, dont l'un aurait, par hypothèse, déjà fait usage de son pouvoir répressif. Suivant les cas, le jugement étranger se voit donc conférer, sous certaines conditions, un effet extinctif et fait ainsi obstacle à une nouvelle poursuite en Suisse. A défaut, le jugement étranger n'est pris en compte que de façon limitée, par le biais du principe d'imputation prévu à l'art. 3 al. 2 CP (M. DUPUIS / L. MOREILLON / C. PIGUET / S. BERGER / M. MAZOU / V. RODIGARI [éds], Code pénal - Petit commentaire , 2 e éd., Bâle 2017, Rem. prél. aux art. 3 à 8, n. 7 et 7a). Lorsque l'auteur d'une infraction est poursuivi à l'étranger à la requête de l'autorité suisse, l'art. 3 al. 3 CP prévoit l'application du principe de liquidation, de sorte que l'affaire est classée en Suisse, la procédure ne pouvant être continuée. Il doit y avoir, dans ce cas, une requête officielle de délégation de compétence de juger de l'autorité suisse (M. DUPUIS et al. , op. cit. , n. 13 ad art. 3). 2.2.1. Nul ne peut être poursuivi ou puni pénalement par les juridictions du même Etat en raison d'une infraction pour laquelle il a déjà été acquitté ou condamné par un jugement définitif conformément à la loi et à la procédure pénale de cet Etat. Ce principe, exprimé par l'adage " ne bis in idem ", est garanti par l'art. 4 al. 1 du Protocole n° 7 à la Convention de sauvegarde des droits de l'homme et des libertés fondamentales du 4 novembre 1950 (CEDH - RS 0.101) ainsi que par l'art. 14 par. 7 du Pacte international du 16 décembre 1966 relatif aux droits civils et politiques. La règle découle en outre implicitement de la Constitution fédérale. Elle figure également à l'art. 11 al. 1 CPP (ATF 144 IV 136 consid. 10.1 p. 155). L'existence d'une même infraction (" idem ") constitue la condition de base du principe " ne bis in idem ". Le point de savoir si les infractions en question sont les mêmes au sens de l'art. 4 al. 1 du Protocole n° 7 à la CEDH dépend d'une analyse axée sur les faits plutôt que par exemple d'un examen formel consistant à comparer les "éléments essentiels" des infractions. L'interdiction vise l'inculpation ou le jugement pour une seconde "infraction" pour autant que celle-ci a pour origine des faits identiques ou des faits qui sont en substance les mêmes (arrêtEDH Zolotouhkine c. Russie du 10 février 2009, § 82 ; A et B c. Norvège du 15 novembre 2016, § 108 ; ATF 144 IV 136 consid. 10.5 p. 157 ; arrêts du Tribunal fédéral 6B_133/2018 du 27 juillet 2018 consid. 2.1 ; 6B_1053/2017 du 17 mai 2018 consid. 4.1 et les références). Ce n'est qu'en présence d'une même infraction qu'il convient de se demander s'il y a eu répétition des poursuites (volet " bis " du principe). Sous cet angle, la jurisprudence de la Cour européenne des droits de l'homme (CourEDH) admet néanmoins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 ne bis in idem " (arrêtEDH A et B c. Norvège du 15 novembre 2016, qui fait la synthèse de la jurisprudence sur ce point ; ATF 144 IV 136 consid. 10.5 p. 157 s. ; arrêt du Tribunal fédéral 6B_133/2018 du 27 juillet 2018 consid. 2.1). 2.2.2. Le principe " ne bis in idem " vaut pleinement entre les Etats Schengen, dont la Suisse et la France, en vertu de l'art. 54 de la Convention d'application de l'Accord de Schengen du 14 juin 1985 (CAAS, JO UE no L 239 du 22 septembre 2000 p. 19), selon lequel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ayant condamné (L. MOREILLON / A. PAREIN-REYMOND, Petit commentaire CPP , Bâle 2016, n. 6 ad art. 11). La Suisse a cependant expressément déclaré, conformément à la faculté conférée par l'art. 55 ch. 1 let. a CAAS, ne pas être liée par l'art. 54 CAAS dans les cas où les faits visés par le jugement étranger ont eu lieu en tout ou en partie sur son territoire. Cette réserve ne s'applique pas si les faits considérés ont (aussi) eu lieu en partie sur le territoire de l'Etat dans lequel le jugement a été rendu (M. DUPUIS et al. , op. cit. , n. 11 ad art. 3).</w:t>
      </w:r>
    </w:p>
    <w:p>
      <w:r>
        <w:rPr>
          <w:b/>
        </w:rPr>
        <w:t>E. 2.3</w:t>
      </w:r>
    </w:p>
    <w:p>
      <w:r>
        <w:t>Il est question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135 IV 158 consid. 2 p. 158 ; ATF 132 IV 132 consid. 5.2 p. 137 ; arrêt du Tribunal fédéral 6B_1145/2016 du 7 avril 2017). La notion de bande suppose un degré minimum d'organisation (p. ex. un partage des rôles et du travail) et une collaboration d'une intensité suffisante pour être à même de parler d'une équipe relativement stable et soudée, même si elle peut être éphémère (arrêt du Tribunal fédéral 6B_1015/2016 du 27 octobre 2017 consid. 5.3).</w:t>
      </w:r>
    </w:p>
    <w:p>
      <w:r>
        <w:rPr>
          <w:b/>
        </w:rPr>
        <w:t>E. 2.4</w:t>
      </w:r>
    </w:p>
    <w:p>
      <w:r>
        <w:t>En l'espèce, la procédure française qui a abouti à l'arrêt de la Cour d'appel de AN______ du 4 mai 2017 a sanctionné les appelants pour avoir, entre les 1 er janvier et 15 octobre 2015, pris part à une organisation logistique et matérielle, incluant également d'autres auteurs, aux fins de préparer des cambriolages en Suisse et de s'être, dans cette optique, servis d'un appartement sis à AL______ comme base arrière et lieu d'entrepôt de leur butin, destiné à être revendu ou écoulé via des sociétés spécialisées dans le rachat d'or, vraisemblablement en Turquie, voire en Géorgie. La procédure suisse qui a donné lieu au jugement attaqué vise, quant à elle, à réprimer les agissements des appelants consistant à avoir, ensemble et de manière professionnelle, concrètement endommagé des portes d'appartements, être entrés sans droit à l'intérieur desdits appartements et y avoir dérobé un certain nombre de valeurs, entre les 17 février 2014 et 15 octobre 2015, sur sol suisse, de sorte qu'aucune délégation de compétence en faveur des autorités françaises n'avait, par ailleurs, de raison d'être. Elle concerne également des actes de nature similaire perpétrés par A______ en 2007 déjà. Ainsi, il convient, d'une part, d'admettre qu'il s'agit là de deux constellations de faits différentes, ce qui est d'autant plus vrai que le droit suisse ne sanctionne pas les actes préalables à des cambriolages. D'autre part, les faits de dommages à la propriété, violation de domicile et de vols, reprochés dans le cadre de la présente procédure, ont uniquement été commis sur sol suisse, de sorte que, quand bien même l'arrêt de la Cour d'appel de AN______ tient compte, à certains égards, des cambriolages commis consécutivement à la formation de l'organisation incriminée, il sied de reconnaître que la réserve formulée par la Suisse au principe " ne bis in idem " d'après l'art. 55 CAAS est ici opérante et que notre pays s'est, de la sorte, réservé le droit de poursuivre et de juger lui-même de tels faits. A cela s'ajoute le fait que les périodes pénales ne se regroupent pas entièrement. La violation du principe " ne bis in idem " invoquée par les appelants est donc infondée.</w:t>
      </w:r>
    </w:p>
    <w:p>
      <w:r>
        <w:rPr>
          <w:b/>
        </w:rPr>
        <w:t>E. 3</w:t>
      </w:r>
    </w:p>
    <w:p>
      <w:r>
        <w:t>3.1.1. Le principe in dubio pro reo , qui découle de la présomption d'innocence, garantie par l'art. 6 ch. 2 de la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3.2.1. L'art. 139 ch. 1 aCP (art. 2 CP ; lex mitior ) réprime le comportement de celui qui, pour se procurer ou procurer à un tiers un enrichissement illégitime, aura soustrait une chose mobilière appartenant à autrui dans le but de se l'approprier. La soustraction implique notamment la violation de la possession d'autrui et la création d'une nouvelle possession, en général en faveur de l'auteur (ATF 110 IV 80 consid. 2b p. 84). L'auteur doit agir dans le dessein de se procurer ou de procurer à un tiers un enrichissement illégitime, lequel peut résulter du seul fait de vouloir tirer un profit de la chose (B. CORBOZ, Les infractions en droit suisse , vol. I, 3 e éd., Berne 2010, n. 11 ad art. 139). 3.2.2.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"principale activité professionnelle" ou qu'il les ait commis dans le cadre de sa profession ou de son entreprise légale. Une activité "accessoire" illicite peut aussi être exercée par métier (ATF 116 IV 319 consid. 4b p. 331). Contrairement à la circonstance qualifiée prévue en matière de stupéfiants et de blanchiment d'argent (art. 19 al. 2 let. c LStup ; art. 305 bis ch. 2 let. c CP ; ATF 129 IV 188 consid. 3.1.2 p. 190 ss), l'aggravation du vol par métier n'exige ni chiffre d'affaires ni gain importants (arrêt du Tribunal fédéral 6B_1043/2017 du 14 août 2018 consid. 1.1).</w:t>
      </w:r>
    </w:p>
    <w:p>
      <w:r>
        <w:rPr>
          <w:b/>
        </w:rPr>
        <w:t>E. 3.3</w:t>
      </w:r>
    </w:p>
    <w:p>
      <w:r>
        <w:t>L'art. 144 al. 1 CP punit, sur plainte, le comportement de celui qui aura endommagé, détruit ou mis hors d'usage une chose appartenant à autrui ou frappée d'un droit d'usage ou d'usufruit au bénéfice d'autrui. L'auteur se rend coupable de dommages à la propriété dès qu'il cause un changement de l'état de la chose qui n'est pas immédiatement réversible sans frais ni effort et qui porte atteinte à un intérêt légitime (ATF 128 IV 250 consid. 2 p. 252 ; arrêts du Tribunal fédéral 6B_77/2017 du 16 janvier 2018 consid. 2.1 et les références ; 6B_348/2012 du 24 octobre 2012 consid. 2.2).</w:t>
      </w:r>
    </w:p>
    <w:p>
      <w:r>
        <w:rPr>
          <w:b/>
        </w:rPr>
        <w:t>E. 3.4</w:t>
      </w:r>
    </w:p>
    <w:p>
      <w:r>
        <w:t>L'art. 186 CP condamne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ayant-droit. 3.5.1. A titre liminaire, il sied d'observer que la crédibilité des appelants est sujette à caution, tant ceux-ci ont varié dans leurs déclarations, se sont contredits et ont tenté de se couvrir mutuellement, dans le but de minimiser leur implication respective. C'est ainsi qu'ils ont d'abord tous deux nié leur implication dans des cambriolages, avant de concéder en avoir commis en Suisse, au vu des preuves recueillies, tout en variant au sujet des périodes précises de leurs méfaits, du nombre de cas commis et de leur mobile, ayant évoqué une situation financière difficile, puis, de manière peu plausible, la nécessité de financer soudainement une addiction aux stupéfiants. Cela étant, les appelants sont restés relativement constants quant au fait qu'ils étaient tous deux venus en Suisse en 2014 et en 2015, avaient à ces occasions commis des cambriolages ensemble - A______ ayant expliqué, en dernier lieu, n'avoir finalement agi que rarement tout seul , dont le butin avait été caché dans l'appartement de AL______ ou dans leur véhicule aux plaques lituaniennes. La description de leur modus operandi , dont il est notamment ressorti que c'était principalement A______ qui forçait les cylindres des appartements visés, n'a pas davantage été l'objet de variations. C'est, enfin, le lieu d'observer que les déclarations de D______ recueillies avec l'assistance d'un interprète russe devant la police française ont, en substance, été confirmées ultérieurement devant la police suisse avec l'assistance d'un interprète géorgien, de sorte que son grief portant sur un éventuel problème de compréhension lors de son audition en langue russe n'est ni plausible, ni pertinent. Au demeurant, ce dernier n'a pas indiqué quelles explications données à la police française auraient précisément été incorrectement traduites, ce qui invalide en tout état ses griefs en la matière. 3.5.2. Compte tenu de ses dernières conclusions prises devant la CPAR, l'appelant D______ persiste à contester sa culpabilité dans 11 cambriolages, sur les 17 encore incriminés, soit ceux commis à l'encontre de L______, M______, N______, O______, P______, Q______, R______, U______, X______, Z______ et Y______. 3.5.2.1. Eu égard à la série de cambriolages commise entre le 23 septembre et le 1 er octobre 2014 (cas L______, M______, N______, O______, P______, Q______ et R______), la présence de l'appelant D______ en Suisse à cette période, ainsi que son implication dans ces cas, doivent être admises en dépit de ses dénégations. En effet, la culpabilité de A______ dans ces cas est acquise, son ADN ayant été en particulier relevé sur les lieux des cambriolages commis au préjudice de L______, M______, O______ et R______. En outre, ce constat avait permis de le lier à la série d'outils n o 2______, utilisée dans le cas O______, et de lui imputer ainsi les cas N______, P______ et Q______, commis au moyen de la même série, outre le lien spatio-temporel existant encore entre les cas O______ et P______. Or, A______ a indiqué être venu en Suisse à deux reprises en 2014, soit en février et en septembre 2014, et à chaque fois avec l'appelant D______. Ce dernier a lui-même concédé avoir commis des cambriolages en 2014 et a indiqué avoir toujours agi avec A______. Au demeurant, le passeport de l'appelant D______ comporte un tampon faisant manifestement état d'une entrée dans l'espace Schengen, par la Pologne, le 14 septembre 2014, alors que le premier cas de la série litigieuse a été commis le 23 septembre suivant, ce qui constituait un laps de temps suffisant pour lui permettre de se rendre en Suisse durant la période litigieuse. En outre, parmi les objets saisis à AL______, dont les appelants reconnaissent qu'ils provenaient de cambriolages perpétrés en commun, se trouvaient des effets appartenant en particulier à Q______. Le fait que l'ADN de l'appelant D______ n'ait pas été relevé dans ces cas, contrairement à son comparse, s'explique par le modus operandi adopté par les prévenus et n'est ainsi pas propre, au vu des autres éléments précités, à élever un doute au sujet de sa culpabilité, de sorte que celle-ci sera confirmée. Du reste, l'appelant D______ a finalement reconnu son implication dans certains cas où seul l'ADN de son comparse avait été mis en évidence, tel que les cas K______ et T______. 3.5.2.2. S'agissant de la série de cambriolages encore litigieuse entre les 6 et 9 octobre 2015 (cas U______, X______, Z______ et Y______), les prévenus ont expliqué de manière constante et concordante qu'ils étaient revenus ensemble à AL______, à bord de la AA______, au tout début du mois d'octobre 2015, évoquant la date du 5, et avoir, à cette occasion, commis de nouveaux cambriolages. Leur présence à proximité de la Suisse durant cette période est donc avérée. A cet égard, contrairement à ce que soutient l'appelant D______, la réservation effectuée à l'hôtel "AC______" à compter du 10 octobre 2015 n'est pas susceptible de démontrer que tous deux sont arrivés à AL______ au plus tôt à cette date, dès lors qu'il a reconnu avoir séjourné auparavant trois nuits dans l'appartement de AL______, avant de se rendre à cet hôtel. Du reste, A______ a reconnu le cas commis au préjudice de X______ en date du</w:t>
      </w:r>
    </w:p>
    <w:p>
      <w:r>
        <w:rPr>
          <w:b/>
        </w:rPr>
        <w:t>E. 6</w:t>
      </w:r>
    </w:p>
    <w:p>
      <w:r>
        <w:t>Compte tenu de ce qui précède, il n'y a pas lieu de revenir sur les conclusions civiles octroyées aux parties plaignantes, ni sur les différentes mesures accessoires précédemment prononcées.</w:t>
      </w:r>
    </w:p>
    <w:p>
      <w:r>
        <w:rPr>
          <w:b/>
        </w:rPr>
        <w:t>E. 7</w:t>
      </w:r>
    </w:p>
    <w:p>
      <w:r>
        <w:t>Les appelants, qui succombent, supporteront, chacun par moitié, les frais de la procédure envers l'Etat, comprenant un émolument de CHF 3'000.- (art. 428 CPP et art. 14 al. 1 let. e du Règlement fixant le tarif des frais en matière pénale ; E 4 10.03).</w:t>
      </w:r>
    </w:p>
    <w:p>
      <w:r>
        <w:rPr>
          <w:b/>
        </w:rPr>
        <w:t>E. 8</w:t>
      </w:r>
    </w:p>
    <w:p>
      <w:r>
        <w:t>8.1.1.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8.1.3.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8.1.4.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8.2</w:t>
      </w:r>
    </w:p>
    <w:p>
      <w:r>
        <w:t>En l'occurrence, il convient de retrancher de la note de frais de la défenseure d'office de A______, la seconde visite du client à la prison effectuée au mois d'octobre 2018. En outre, au vu de l'activité déjà indemnisée en première instance, notamment du temps déjà consacré à la préparation des débats, et de la portée de l'appel, il convient de prendre globalement en compte un temps d'étude du dossier et de préparation des débats d'appel limité à 3h00, le conseil connaissant parfaitement le dossier pour l'avoir déjà traité précédemment. En revanche, une visite du client à la prison, avec interprète, afin de lui expliquer la décision rendue, sera exceptionnelle-ment prise en considération. A ce qui précède s'ajoute le forfait de 10% pour les démarches diverses, compte tenu de l'activité déjà indemnisée en première instance. En conclusion, l'indemnité due à M e C______ sera arrêtée à CHF 4'086.20, correspondant à 14h35 d'activité au tarif horaire de cheffe d'étude, plus la majoration forfaitaire de 10% (CHF 293.-), deux forfaits déplacement (CHF 200.-) et l'équivalent de la TVA au taux de 7.7% (CHF 263.55). Des débours de CHF 400.- pour les frais d'interprète sont également inclus.</w:t>
      </w:r>
    </w:p>
    <w:p>
      <w:r>
        <w:rPr>
          <w:b/>
        </w:rPr>
        <w:t>E. 8.3</w:t>
      </w:r>
    </w:p>
    <w:p>
      <w:r>
        <w:t>S'agissant de l'indemnité due à la défenseure d'office de D______, à défaut de la production d'une note de frais dans le délai imparti à ce effet, il convient de la fixer ex aequo et bono . A cet égard, compte tenu du temps pris en considération pour l'activité de la défenseure d'office de A______, dont l'appel était limité à la peine, un temps d'activité global de 16h30 sera pris en compte pour la défenseure d'office de D______, dont l'appel portait aussi sur une partie de la culpabilité. Tout comme pour l'appelant A______, une visite supplémentaire du conseil à la prison, avec interprète, sera exceptionnellement prise en considération pour expliquer au client la décision rendue. En conclusion, l'indemnité due à M e E______ sera arrêtée à CHF 3'830.-, correspondant à 16h30 d'activité au tarif horaire de cheffe d'étude, plus la majoration forfaitaire de 10% (CHF 330.-) - l'activité globale excédant désormais 30h00 , et un forfait déplacement (CHF 100.-). Des débours de CHF 100.- pour les frais d'interprète sont également inclus.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