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P/20193/2020 vom 22. Mai 2024</w:t>
      </w:r>
    </w:p>
    <w:p>
      <w:r>
        <w:t>GE Cour de justice, 2024-05-22, FR</w:t>
      </w:r>
    </w:p>
    <w:p>
      <w:r>
        <w:rPr>
          <w:b/>
        </w:rPr>
        <w:t xml:space="preserve">Quelle: </w:t>
      </w:r>
      <w:r>
        <w:t>https://mcp.opencaselaw.ch/entscheid/ge_gerichte_P_20193_2020</w:t>
      </w:r>
    </w:p>
    <w:p>
      <w:r>
        <w:t>FR: GE_GERICHTE P/20193/2020 du 22 mai 2024</w:t>
      </w:r>
    </w:p>
    <w:p>
      <w:r>
        <w:t>IT: GE_GERICHTE P/20193/2020 del 22 maggio 2024</w:t>
      </w:r>
    </w:p>
    <w:p>
      <w:pPr>
        <w:pStyle w:val="Heading2"/>
      </w:pPr>
      <w:r>
        <w:t>Regeste</w:t>
      </w:r>
    </w:p>
    <w:p>
      <w:r>
        <w:t>PRÉSOMPTION D'INNOCENCE;CONFRONTATION;COMMERCE DE STUPÉFIANTS;SÉJOUR ILLÉGAL;INTERDICTION DE PÉNÉTRER DANS UNE ZONE;OPPOSITION À UN ACTE DE L'AUTORITÉ;CONFISCATION(DROIT PÉNAL) | LEI.115; LStup.19; LEI.119; CP.286</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et 6B_1183/2016 du 24 août 2017 consid. 1.1). 2.2.1.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De manière générale, il convient de rechercher si la procédure, considérée dans son ensemble, y compris la présentation des moyens de preuve, a revêtu un caractère équitable (ATF 131 I 476 consid. 2.2 ; arrêts du Tribunal fédéral 6B_721/2020 du 11 février 2021 consid. 3.3.1 et 6B_289/2020 du 1 er décembre 2020 consid. 4.5.1). 2.2.2. Selon l'art. 6 ch. 3 let. d CEDH, le prévenu a le droit de poser des questions au témoin à charge. Un témoignage à charge n'est en principe exploitable que si le prévenu a eu au moins une fois au cours de la procédure une occasion adéquate et suffisante de mettre en doute le témoignage et de poser des questions au témoin à charge. Il est possible de renoncer expressément ou tacitement à la participation ou à la confrontation, que ce soit au préalable ou après coup. On peut notamment admettre qu'il y a renonciation lorsque le prévenu omet de déposer en temps utile et en bonne et due forme des demandes correspondantes. La renonciation au droit d'être présent exclut une répétition de l'administration des preuves. L'hypothèse d'une renonciation (valable) à la participation et à la confrontation n'est pas en contradiction avec le fait que les autorités doivent recueillir d'office les preuves nécessaires (arrêt du Tribunal fédéral 7B_186/2022 du 14 août 2023, consid. 2.1 et les références citées).</w:t>
      </w:r>
    </w:p>
    <w:p>
      <w:r>
        <w:rPr>
          <w:b/>
        </w:rPr>
        <w:t>E. 2.3</w:t>
      </w:r>
    </w:p>
    <w:p>
      <w:r>
        <w:t>Enfreint l'art. 19 al. 1 let. c LStup celui qui, sans droit, aliène ou prescrit des stupéfiants, en procure de toute autre manière à un tiers ou en met dans le commerce.</w:t>
      </w:r>
    </w:p>
    <w:p>
      <w:r>
        <w:rPr>
          <w:b/>
        </w:rPr>
        <w:t>E. 2.4</w:t>
      </w:r>
    </w:p>
    <w:p>
      <w:r>
        <w:t>En l'occurrence, l'appelant conteste avoir vendu de la drogue à C______ le 27 octobre 2020. Or, ce dernier a admis avoir acheté une boulette de 0.5 gramme de cocaïne, contre CHF 40.- (2x20.-), à " un individu africain, vers la rue 3______" qu'il a, par la suite, identifié sur planche photographique comportant huit individus comme étant l'appelant. Il a ajouté que le précité l'avait invité à entrer dans l'allée d'un immeuble où ils avaient procédé à l'échange. Ses déclarations sont corroborées par les observations des policiers qui ont expliqué avoir vu un contact entre un individu européen et un individu africain devant l'allée du n° ______ de la rue 3______ – où l'appelant a été appréhendé – avant que les deux protagonistes ne pénètrent dans ladite allée, afin d'effectuer l'échange drogue contre argent. Ainsi, outre le fait d'avoir été interpellé sur les lieux de l'échange après avoir été observé par la police, l'appelant a été formellement identifié par l'acheteur comme étant la personne qui lui avait vendu la drogue. Sur ce point, il n'y a pas lieu de douter du bien-fondé et de la crédibilité des déclarations de C______ dans la mesure où la police l'a interpellé très peu de temps après l'échange drogue contre argent. Lors de l'audition de l'intéressé, la police n'a constaté ni état de manque ni imprégnation aux stupéfiants, étant précisé que les policiers sont intervenus alors qu'il faisait fondre la drogue, qu'il n'avait dès lors pas encore consommée. Par ailleurs, les déclarations de C______ corroborent les observations policières. Il en découle que l'appelant n'est pas crédible lorsqu'il prétend que le toxicomane l'aurait abordé pour lui demander de la cocaïne, mais qu'il ne lui en aurait pas vendu. Qui plus est, les espèces saisies sur l'appelant étaient composées de plusieurs petites coupures dont des billets de CHF 20.-. Le prévenu ayant varié dans ses déclarations quant à leur provenance, ses explications à cet égard apparaissent peu crédibles. Quand bien même la police n'a manifestement pas vu l'échange dans l'allée, les éléments rappelés ci-dessus sont suffisants pour retenir la culpabilité de l'appelant. Certes, l'appelant n'a été confronté ni au toxicomane ni aux policiers dans le cadre de la procédure. Cela étant, il a eu l'occasion de se déterminer tant sur les déclarations de C______ que sur le contenu du rapport d'arrestation établi par la police de sorte que leur audition par le juge de première instance n'était pas indispensable. Il n'a du reste sollicité aucune confrontation avec les précités. Quoi qu'il en soit, une confrontation entre les protagonistes apparaîtrait superflue dans le cas d'espèce, les faits étant suffisamment établis à teneur du dossier et vu la vraisemblance que les parties maintiennent leurs déclarations. Partant, le verdict de culpabilité du chef d'infraction à l'art. 19 al. 1 let. c LStup retenu par les premiers juges doit être confirmé, ce qui emporte le rejet de l'appel sur ce point.</w:t>
      </w:r>
    </w:p>
    <w:p>
      <w:r>
        <w:rPr>
          <w:b/>
        </w:rPr>
        <w:t>E. 3</w:t>
      </w:r>
    </w:p>
    <w:p>
      <w:r>
        <w:t>3.1. L'infraction à l'art. 19 al. 1 let. c LStup est sanctionnée d'une peine privative de liberté de trois ans au plus ou d'une peine pécuniaire. 3.2.1. L'art. 115 al. 1 let. b LEI punit, quant à lui, d'une peine privative de liberté d'un an au plus ou d'une peine pécuniaire quiconque séjourne illégalement en Suisse. 3.2.2. L'art. 115 al. 1 let. b LEI consacre un délit continu. La condamnation en raison de ce délit opère cependant une césure, de sorte que le fait de perpétuer la situation irrégulière après le jugement constitue un acte indépendant permettant une nouvelle condamnation à raison des faits non couverts par le premier jugement, en conformité avec le principe ne bis in idem (ATF 145 IV 449 consid. 1.1 ; 135 IV 6 consid. 3.2). En vertu du principe de la culpabilité, sur lequel repose le droit pénal, les peines prononcées dans plusieurs procédures pénales en raison de l'effet de césure ne peuvent dépasser la peine maximale prévue par la loi pour l'infraction en question.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(ATF 145 IV 449 consid. 1.1 ; 135 IV 6 consid. 4.2 ; arrêt du Tribunal fédéral 6B_95/2023 du 12 juillet 2023 consid. 1.1).</w:t>
      </w:r>
    </w:p>
    <w:p>
      <w:r>
        <w:rPr>
          <w:b/>
        </w:rPr>
        <w:t>E. 3.3</w:t>
      </w:r>
    </w:p>
    <w:p>
      <w:r>
        <w:t>Aux termes de l'art. 119 al. 1 LEI, quiconque enfreint une assignation à un lieu de résidence ou une interdiction de pénétrer dans une région déterminée (art. 74) est puni d'une peine privative de liberté de trois ans au plus ou d'une peine pécuniaire.</w:t>
      </w:r>
    </w:p>
    <w:p>
      <w:r>
        <w:rPr>
          <w:b/>
        </w:rPr>
        <w:t>E. 3.4</w:t>
      </w:r>
    </w:p>
    <w:p>
      <w:r>
        <w:t>L'art. 286 para. 1 CP punit, d'une peine pécuniaire de 30 jours-amende au plus, quiconque empêche une autorité, un membre d'une autorité ou un fonctionnaire de faire un acte entrant dans ses fonctions. 3.5.1.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 Bien que la récidive ne constitue plus un motif d'aggravation obligatoire de la peine (art. 67 aCP), les antécédents continuent de jouer un rôle très important dans la fixation de celle-ci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(M. DUPUIS / L. MOREILLON / C. PIGUET / S. BERGER / M. MAZOU / V. RODIGARI, Petit commentaire du Code pénal, 2 ème éd., 2017, n. 5 ad art. 47). 3.5.2. L’art. 41 CP autorise le juge à prononcer une peine privative de liberté à la place d’une peine pécuniaire, en justifiant son choix de manière circonstanciée (al. 2), si une peine privative de liberté paraît justifiée pour détourner l’auteur d’autres crimes ou délits (al. 1 let. a) ou s’il y a lieu de craindre qu’une peine pécuniaire ne puisse pas être exécutée (al. 1 let. b). 3.5.3. Selon la jurisprudence de la Cour de justice de l'Union européenne (ci-après: CJUE), reprise par le Tribunal fédéral, une peine privative de liberté pour séjour illégal ne peut être infligée à un ressortissant étranger que si la procédure administrative de renvoi a été menée à son terme sans succès et que le ressortissant étranger demeure sur le territoire sans motif justifié de non-retour (arrêts de la CJUE du 28 avril 2011 C-61/11 PPU El Dridi et du 6 décembre 2011 C-329/11 Achughbabian ; arrêts du Tribunal fédéral 6B_787/2014 du 27 novembre 2014 consid. 2.1 ; 6B_173/2013 du 19 août 2013 consid. 1.4). Le Tribunal fédéral a déduit de la jurisprudence européenne que la Directive sur le retour, intégrée au droit suisse par l'arrêté fédéral du 18 juin 2010 (RO 2010 5925), n'est pas applicable, en vertu de son art. 2 para. 2 let. b, aux ressortissants des pays tiers ayant commis, outre le séjour irrégulier, un ou plusieurs autres délits en dehors du droit pénal sur les étrangers. 3.5.4. Selon l'art. 40 CP, la durée de la peine privative de liberté va de trois jours à 20 ans. 3.5.5.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 justifie,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La situation à prendre en compte est celle existant au moment où le juge du fait statue (ATF 142 IV 315 consid. 5.3.2). 3.5.6. Selon l'art. 49 al. 1 CP, si, en raison d’un ou de plusieurs actes, l'auteur remplit les conditions de plusieurs peines de même genre, le juge le condamne à la peine de l'infraction la plus grave et l'augmente dans une juste proportion.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3.5.7. Selon l'art. 49 al. 2 CP, s'il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L'art. 49 al. 2 CP s'applique lorsqu'un tribunal doit juger une ou plusieurs infractions que l'auteur a commises avant sa précédente condamnation à une peine de même genre que celle envisagée pour l'infraction à juger (L. MOREILLON / A. MACALUSO / N. QUELOZ / N. DONGOIS [éds], Commentaire romand, Code pénal I, art. 1-110 CP, 2 ème éd., Bâle 2021, n. 82 ad art. 49). 3.5.8. Selon l'art. 51 CP, le juge impute sur la peine la détention avant jugement subie par l'auteur dans le cadre de l'affaire qui vient d'être jugée ou d'une autre procédure. 3.5.9. Selon l'art. 42 al. 1 CP, le juge suspend en règle générale l'exécution d'une peine pécuniaire ou d'une peine privative de liberté de deux ans au plus lorsqu'une peine ferme ne paraît pas nécessaire pour détourner l'auteur d'autres crimes ou délits. Cette norme requiert uniquement une absence de pronostic défavorable, et pas un pronostic favorable (ATF 134 IV 97 consid. 6.3.4.2 ; 134 IV 1 consid. 4.2.2 et 4.2.3 ; arrêt du Tribunal fédéral 6B_935/2022 du 16 juin 2023 consid. 3.1). Le juge doit ainsi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3.6.1. En l'espèce, la faute de l'appelant n'est pas négligeable. Il a en effet persisté à séjourner illégalement sur le territoire suisse, alors qu'il a déjà fait l'objet de quatre condamnations pour ce fait depuis le 29 mars 2019. Il a également pénétré, à tout le moins à deux reprises, dans le canton de Genève, faisant ainsi fi de l'interdiction qui lui avait été notifiée le 29 octobre 2020. De plus, il n'a pas hésité à entraver son contrôle par la police à trois reprises, alors-même qu'il avait déjà été condamné deux fois pour ce fait. En sus des infractions précitées, il s'est encore rendu coupable d'infraction à l'art. 19 al. 1 let. c LStup. Par son comportement, il a ainsi porté atteinte à différents biens juridiques protégés. Il y a concours d'infractions, facteur d'aggravation de la peine. L'appelant a de surcroit agi au mépris des interdits en vigueur pour des mobiles égoïstes et par pure convenance personnelle. Sa collaboration à la procédure a été fluctuante. Il a certes reconnu le séjour illégal, mais ne pouvait que difficilement le contester. Il a en revanche initialement nié avoir connaissance de la décision d'interdiction de pénétrer dans le canton de Genève prononcée à son endroit – alors que celle-ci lui avait été notifiée –, et avoir tenté de fuir la police, avant de reconnaître l'intégralité des faits qui lui étaient reprochés, à l'exclusion de l'infraction à la LStup, persistant dans des dénégations peu crédibles au vu des éléments de preuve attestant de sa culpabilité. Sa prise de conscience doit donc manifestement être encore amorcée. Sa situation personnelle, certes précaire vu son statut illégal en Suisse ne justifie pas pour autant son comportement, celui-ci résultant essentiellement de son obstination à demeurer sur le sol suisse, où il n'a, en l'état, aucune perspective de vie dans des conditions régulières. L'appelant a en outre de nombreux antécédents spécifiques tant en matière d'infractions à la LEI qu'à l'art. 286 CP. L'appelant critique le genre de peine infligé et sa quotité pour les infractions à la LEI et à la LStup. Or, seule une peine privative de liberté entre en considération dans le cas d'espèce, dès lors que les peines pécuniaires fermes d'ores et déjà prononcées à l'encontre de l'appelant ne l'ont manifestement pas dissuadé de persister dans la délinquance. De plus, une peine pécuniaire est manifestement irrécouvrable dans le cas de l'appelant qui est sans revenu, ni emploi et vit de l'aide d'associations. À teneur de la jurisprudence de la CJUE précitée, l'appelant, ressortissant guinéen, – qui s'est rendu coupable de violations d'une interdiction de pénétrer dans une région déterminée et de séjour illégal en sus d'infractions ne relevant pas du droit pénal sur les étrangers – n'est pas soumis à la Directive sur le retour dans le cas d'espèce. Partant, le prononcé d'une peine privative de liberté pour réprimer lesdites infractions à la LEI ne viole pas le droit international. 3.6.2. Dans la mesure où une peine privative de liberté doit être prononcée pour l'infraction à la LStup et les infractions à la LEI, il y a concours au sens de l'art. 49 al. 1 CP, ce qui justifie une augmentation de la peine de l'infraction la plus grave, en l'occurrence celle venant sanctionner l'infraction à l'art. 19 al. 1 let. c LStup, étant précisé qu'une peine partiellement complémentaire à celles prononcées les 30 novembre 2020 et 23 mai 2023 est exclue, compte tenu du genre de peine prononcé. La peine peut être hypothétiquement fixée à 30 jours pour réprimer l'infraction à l'art. 19 al. 1 let. c LStup, laquelle devrait être augmentée, par le jeu du concours, de 40 jours pour la violation d'une interdiction de pénétrer dans une région déterminée commise à tout le moins à deux reprises (peine théorique: 60 jours) et de 30 jours pour séjour illégal (peine théorique: 50 jours). Dès lors, une peine d'ensemble de 100 jours, sous déduction de 6 jours de détention avant jugement, sera prononcée, le jugement entrepris devant être réformé sur ce point. Dans la mesure où c'est une peine privative de liberté qui a été prononcée pour sanctionner le séjour illégal, la violation d'une interdiction de pénétrer dans une région déterminée et l'infraction à la LStup, l'argument de l'appelant relatif au seuil maximal de 180 unités pénales tombe à faux. Quoi qu'il en soit, ce seuil n'était vraisemblablement pas encore atteint compte tenu des autres infractions pour lesquelles l'appelant avait été condamné en parallèle des infractions de séjour illégal. 3.6.3. S'agissant ensuite des infractions à l'art. 286 CP commises à trois reprises, la peine pécuniaire de 40 jours-amende à CHF 10.- l'unité prononcée par le premier juge est adéquate et proportionnée, de sorte qu'elle sera confirmée. 3.6.4. Vu le pronostic particulièrement défavorable, le sursis ne sera pas accordé à l'appelant. Le principe de la non-révocation du sursis octroyé le 29 mars 2019 par le MP à l'appelant lui est acquis, compte tenu de l'interdiction de la reformatio in pejus.</w:t>
      </w:r>
    </w:p>
    <w:p>
      <w:r>
        <w:rPr>
          <w:b/>
        </w:rPr>
        <w:t>E. 4</w:t>
      </w:r>
    </w:p>
    <w:p>
      <w:r>
        <w:t>Vu la culpabilité de l'appelant du chef d'infraction à l'art. 19 al. 1 let. c LStup, la confiscation et la dévolution à l'Etat, à hauteur de CHF 40.-, des valeurs patrimoniales figurant sous chiffre 1 de l'inventaire n° 1______ sera confirmée, à l'instar du séquestre du solde desdits avoirs en couverture des frais de la procédure (art. 70 al. 1 CP ; 267 al. 3 CPP).</w:t>
      </w:r>
    </w:p>
    <w:p>
      <w:r>
        <w:rPr>
          <w:b/>
        </w:rPr>
        <w:t>E. 5</w:t>
      </w:r>
    </w:p>
    <w:p>
      <w:r>
        <w:t>5.1. L'appelant, qui obtient très partiellement gain de cause, supportera trois quarts des frais de la procédure d'appel, comprenant un émolument de jugement de CHF 1'000.- (art. 428 al. 1 CPP et art. 14 al. 1 let. e du Règlement genevois fixant le tarif des frais en matière pénale [RTFMP]). Il s'acquittera, dans la même proportion, de l'émolument complémentaire de jugement de CHF 600.-. Le solde de ces frais sera laissé à la charge de l'État.</w:t>
      </w:r>
    </w:p>
    <w:p>
      <w:r>
        <w:rPr>
          <w:b/>
        </w:rPr>
        <w:t>E. 5.2</w:t>
      </w:r>
    </w:p>
    <w:p>
      <w:r>
        <w:t>Pour le surplus, compte tenu du verdict de culpabilité confirmé, il ne convient pas de revenir sur la condamnation de l'appelant au paiement des frais de la procédure de première instance (art. 428 al. 3 CPP), à l'exception de l'émolument de jugement complémentaire dont il devra s'acquitter pour les trois quarts, ni sur la décision du premier juge de compenser ceux-ci avec les valeurs patrimoniales séquestrées en vertu de l'art. 442 al. 4 CPP, le solde éventuel devant être restitué à l'appelant.</w:t>
      </w:r>
    </w:p>
    <w:p>
      <w:r>
        <w:rPr>
          <w:b/>
        </w:rPr>
        <w:t>E. 6</w:t>
      </w:r>
    </w:p>
    <w:p>
      <w:r>
        <w:t>Considéré globalement, l'état de frais produit par M e B______, défenseure d'office de A______ satisfait les exigences légales et jurisprudentielles régissant l'assistance judiciaire en matière pénale. La rémunération de M e B______ sera partant arrêtée à CHF 646.20 correspondant à trois heures d'activité au tarif de CHF 200.-/heure – hors forfait – et l'équivalent de la TVA au taux de 7.7% – l'entier de son activité ayant été déployée en 2023, soit avant l'entrée en vigueur du nouveau taux de la TVA – en CHF 46.20.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