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P/20189/2020 vom 3. Juni 2022</w:t>
      </w:r>
    </w:p>
    <w:p>
      <w:r>
        <w:t>GE Cour de justice, 2022-06-03, FR</w:t>
      </w:r>
    </w:p>
    <w:p>
      <w:r>
        <w:rPr>
          <w:b/>
        </w:rPr>
        <w:t xml:space="preserve">Quelle: </w:t>
      </w:r>
      <w:r>
        <w:t>https://mcp.opencaselaw.ch/entscheid/ge_gerichte_P_20189_2020</w:t>
      </w:r>
    </w:p>
    <w:p>
      <w:r>
        <w:t>FR: GE_GERICHTE P/20189/2020 du 3 juin 2022</w:t>
      </w:r>
    </w:p>
    <w:p>
      <w:r>
        <w:t>IT: GE_GERICHTE P/20189/2020 del 3 giugno 2022</w:t>
      </w:r>
    </w:p>
    <w:p>
      <w:pPr>
        <w:pStyle w:val="Heading2"/>
      </w:pPr>
      <w:r>
        <w:t>Regeste</w:t>
      </w:r>
    </w:p>
    <w:p>
      <w:r>
        <w:t>PEINE COMPLÉMENTAIRE | CP.160; CP.49.al2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10 al. 2 CPP, le tribunal apprécie librement les preuves recueillies selon l’intime conviction qu’il retire de l’ensemble de la procédure.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Un témoin par ouï-dire (" vom Hörensagen ") fait part d'indications constatées et transmises par un tiers. Il s'agit ainsi d'un témoignage portant sur les perceptions d'autrui relatives à des faits. En l'absence de norme prohibant expressément une telle démarche, le principe de la libre appréciation des preuves (art. 10 al. 2 CPP) permet au juge de se fonder sur les déclarations d'un témoin rapportant les déclarations d'une autre personne (arrêt du Tribunal fédéral 6B_193/2010 du 22 avril 2010 consid. 3.1.2). Le témoin par ouï-dire n'est toutefois témoin direct que de la communication que lui a faite le tiers ; il n'est témoin qu'indirect des faits décrits, dont il ne peut rapporter que ce qui lui en a été dit mais non pas attester de leur véracité (arrêts du Tribunal fédéral 6B_1469/2019 du 1 er avril 2020 consid. 1.2 ; 6B_862/2015 du 7 novembre 2016 consid. 4.2).</w:t>
      </w:r>
    </w:p>
    <w:p>
      <w:r>
        <w:rPr>
          <w:b/>
        </w:rPr>
        <w:t>E. 2.2</w:t>
      </w:r>
    </w:p>
    <w:p>
      <w:r>
        <w:t>L’art. 19 al. 1 let. c LStup punit d’une peine privative de liberté de trois ans au plus ou d’une peine pécuniaire, celui qui, sans droit, aliène ou prescrit des stupéfiants, en procure de toute autre manière à un tiers ou en met dans le commerce.</w:t>
      </w:r>
    </w:p>
    <w:p>
      <w:r>
        <w:rPr>
          <w:b/>
        </w:rPr>
        <w:t>E. 2.3</w:t>
      </w:r>
    </w:p>
    <w:p>
      <w:r>
        <w:t>En l’espèce, la police a observé la transaction et a interpellé les protagonistes immédiatement après l’échange. L’acheteur se trouvait en possession de deux boulettes de cocaïne et l'appelant avait sur lui la somme de CHF 384.90, pouvant comprendre, en partie, le prix payé par l'acheteur (CHF 140.-). L'appelant prétend avoir reçu cette somme de la part de son amie, ce qui n'est guère crédible dès lors qu'il séjournait en Suisse sans la moindre source de revenu licite, de sorte qu'il aurait dû, selon toute vraisemblance, dépenser toute économie dont il aurait disposé. La crédibilité de ses allégations est d’autant plus faible qu’il a indiqué que sa copine se prénommait I______ durant l’instruction et J______ devant le TP. L’appelant a pu être confronté à l’auteur du rapport de police, lequel a participé à son interpellation. Le gendarme a confirmé les déclarations de sa collègue selon lesquelles elle avait constaté la vente et avait également gardé l’appelant en visuel jusqu'à son interpellation qu’elle a ainsi guidée. De plus, l’acheteur, interpellé simultanément, a formellement reconnu l’appelant, certes sans confrontation, comme étant le vendeur des deux boulettes de cocaïne, sur planche photographique et, dans les locaux de la police, par sa veste de type militaire, ce qui corrobore la version des policiers. Si la veste portée par l’appelant n’est pas unique, elle a néanmoins servi pour le décrire, le désigner puis le reconnaître dans le contexte spécifique des faits reprochés, ce qui constitue un élément probant. On peut enfin retenir que l’appelant ne conteste pas avoir été actif dans la vente de stupéfiants à d’autres occasions. Un faisceau d’indices convergents démontre ainsi qu’il a bien vendu deux boulettes de cocaïne au prix de CHF 140.- le 19 février 2021. Partant, sa condamnation du chef d'infraction à l'art. 19 al. 1 LStup sera confirmée.</w:t>
      </w:r>
    </w:p>
    <w:p>
      <w:r>
        <w:rPr>
          <w:b/>
        </w:rPr>
        <w:t>E. 2.4</w:t>
      </w:r>
    </w:p>
    <w:p>
      <w:r>
        <w:t>Selon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la dissimulation et l'aide à la négociation d'une chose dont l'auteur sait ou doit présumer qu'un tiers l'a obtenue au moyen d'une infraction contre le patrimoine (ATF 128 IV 23 consid. 3c p. 24). Le recel est une infraction intentionnelle, mais il suffit que l'auteur sache ou doive présumer, respectivement qu'il accepte l'éventualité que la chose provienne d'une infraction contre le patrimoine (arrêts du Tribunal fédéral 6B_1124/2014 du 22 septembre 2015 consid. 2.1; 6B_728/2010 du 1 er mars 2011 consid. 2.2). Il en va ainsi lorsque les circonstances suggèrent le soupçon de la provenance délictueuse (ATF 129 IV 230 consid. 5.3.2 p. 236 s. et les références à ATF 119 IV 242 consid. 2b p. 247; 101 IV 402 consid. 2 p. 405 s.). Le juge, en analysant les circonstances concrètes, doit se convaincre que l'auteur a accepté l'éventualité que la chose provienne d'une infraction contre le patrimoine. Il suffit cependant que les raisons de le soupçonner soient telles que cette possibilité s'impose à l'esprit (cf. ATF 119 IV 247 consid. 2b, 101 IV 405 s. consid. 2). Il n'est pas nécessaire que le receleur connaisse la nature exacte de l'infraction contre le patrimoine, ni les circonstances dans lesquelles elle s'est déroulée (ATF 119 IV 247 consid. 2b ; B. CORBOZ, Les infractions en droit suisse , vol. I, 3e éd., Berne 2010, n°48 et 49 ad art. 160).</w:t>
      </w:r>
    </w:p>
    <w:p>
      <w:r>
        <w:rPr>
          <w:b/>
        </w:rPr>
        <w:t>E. 2.5</w:t>
      </w:r>
    </w:p>
    <w:p>
      <w:r>
        <w:t>En l'espèce, l’appelant a toujours allégué avoir ignoré que le téléphone qu’il avait acquis avait été volé. Certains éléments ont néanmoins dû le faire se douter de ce que le téléphone avait une origine délictuelle. Les circonstances entourant la vente, survenue dans la rue dans le quartier des F______, avec un inconnu, sans remise de quittance ou de document, n’ont pu qu’éveiller ses soupçons. De plus, le prix de vente du téléphone (CHF 70.-) paraît très bas, même si celui-ci était d’occasion et abimé. En effet, il est notoire que les prix des téléphones de marque, même d’occasion, s’élèvent à des centaines de francs. Par ailleurs, ce n’est qu’à partir de sa seconde audition que l’appelant a opportunément indiqué s’être enquis auprès du vendeur de l’origine du téléphone. Or, soit il a effectivement posé la question et s’est contenté d’accepter la version d’un inconnu sans exiger un quelconque document permettant de corroborer ces informations, soit ses déclarations sont faites pour les besoins de la cause. Quoi qu’il en pu en être, au vu de ces éléments, l’appelant a clairement accepté le risque d’acheter un téléphone issu d’une infraction, sans qu’il importe qu’il connût les détails de celle-ci, et s’en est accommodé, remplissant ainsi les conditions du dol éventuel. Les éléments constitutifs tant objectifs que subjectifs du recel au sens de l'art. 160 ch. 1 CP étant réalisés, le verdict de culpabilité de recel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La peine pécuniaire et l’amende ne le sont pas non plus (ATF 144 IV 217 consid. 2.3.1 ; arrêt du Tribunal fédéral 6B_756/2018 du 15 novembre 2018 consid. 2.4). Cette disposition ne prévoit aucune exception. Le prononcé d'une peine unique dans le sens d'un examen global de tous les délits à juger n'est pas possible (ATF 144 IV 217 consid. 3.5.4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l'art. 49 al. 2 CP entre en considération, le juge doit fixer une peine complémentaire ( Zusatzstrafe ) à la peine de base ( Grundstrafe ) en tenant compte du principe de l'aggravation découlant de l'art. 49 al. 1 CP (ATF 145 IV 1 consid. 1.3 p. 8).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217 consid. 2.2 p. 219 ; arrêt du Tribunal fédéral 6B_884/2018 du 5 février 2019 consid. 1.1.1).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138 IV 120 consid. 5.2). La peine de départ ( Einsatzstrafe ) est celle dont l’infraction est abstraitement la plus grave parmi toutes celles à considérer. Une fois que le juge a aggravé celle-ci et défini une peine d’ensemble hypothétique, il en déduit la peine de base afin de prononcer la peine complémentaire (ATF 142 IV 265 , consid. 2.4.4).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142 IV 265 consid. 2.3.2 et 2.4.4-2.4.6; ATF 145 IV 1 consid. 1.3). Si, en revanche, l'art. 49 al. 2 CP ne peut être appliqué, ainsi parce que le genre de peine envisagé pour sanctionner les infractions antérieures au jugement diffère de celui de la sanction déjà prononcée, le juge doit retenir une peine cumulative (ATF 145 IV 1 consid. 1.3).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 3.1.5. Selon l’art. 46 al. 2 phrase 2 CP, le juge peut adresser au condamné un avertissement et prolonger le délai d’épreuve de la moitié de la durée fixée dans le jugement. Cette limite vaut même s’il y a plusieurs prolongations (CR CP I-KUHN/VUILLE, 2 e éd. 2021, n. 9 ad art. 46 CP). 3.2.1. En espèce, l’appelant ne conteste pas, à juste titre, sa culpabilité, dûment établie par les éléments du dossier, en particulier par ses propres déclarations, en relation avec les infractions aux art. 19 al. 1 let. c et d LStup, 115 al. 1 let. a et b et 119 al. 1 LEI, 286 al. 1 CP et art. 19a ch. 1 LStup, lesquelles ont été commises entre le 5 octobre et le 11 juin 2021. Il est par ailleurs reconnu coupable du délit à la LStup du 19 février 2021 et du recel du 19 décembre 2020. Comme retenu par le premier juge, sa faute n'est pas négligeable en lien avec la vente de cocaïne, l’entrée et le séjour illégal en Suisse, le recel ainsi que le non-respect de l’interdiction de pénétrer dans une région déterminée, le tout sur une période pénale d’une année et demi. Il ne faut pas sous-estimer le préjudice pour la collectivité du séjour illégal, y compris au plan matériel, puisque cela mobilise constamment les nombreux acteurs appelés à le réprimer. Ses mobiles sont égoïstes, qu'il s'agisse de l'appât du gain pour la vente de cocaïne ou sa convenance personnelle, dans le mépris des lois et injonctions (interdiction de périmètre). Même si la précarité de sa situation personnelle explique, en partie, ses agissements, elle ne saurait les justifier, étant relevé que son absence totale de liens avec la Suisse – une relation avec une femme établie à Genève n’étant pas avérée ni corroborée par une quelconque preuve - rend encore moins compréhensible son entêtement à rester en toute illégalité dans ce pays. Sa collaboration est pour le moins relative. S'il a, certes, reconnu les faits liés à certaines infractions à la LStup, à la LEI et au CP, qu'il pouvait difficilement contester compte tenu des circonstances de son interpellation, il a persisté à nier son implication dans la vente de stupéfiants du 19 février 2021 et dans le recel. Sa prise de conscience est inexistante, dès lors qu'il intensifie ses comportements illégaux en dépit de sa précédente condamnation pour violation de la LStup et de la LEI. Compte tenu du séjour illégal dès le 5 octobre 2020 et sa volonté affichée de régulariser sa situation administrative pour continuer à vivre en Suisse, il apparaît que l'appelant n'envisage pas de quitter la Suisse, pays dans lequel rien ne permet d'espérer qu'il pourrait durablement subvenir à ses besoins sans recourir à nouveau à des actes illicites. Le fait qu’il déclare ne pas avoir été interpellé depuis juin 2021 ne modifie pas cette appréciation, dès lors que l'on doit pouvoir attendre de tout un chacun qu’il se comporte de façon conforme au droit (arrêt du Tribunal fédéral 6B_740/2016 du 2 juin 2017 consid. 2.2). Il a par ailleurs fait l’objet d’une condamnation pour délits à la LStup, à la LEI et au CP le 6 avril 2022. Les conditions du sursis ne sont ainsi pas réalisées. Au vu de ce qui précède, seule une peine privative de liberté entre en considération pour réprimer les infractions aux art. 19 al. 1 let. c et d LStup, 160 ch. 1 CP et 115 al. 1 let. a et b et 119 al. 1 LEI, dans la mesure où l’appelant a déjà été condamné à une peine privative de liberté de 180 jours pour infractions à la LStup et à la LEI sans que cela ne le dissuade de commettre à nouveau des infractions similaires. En outre, sa situation financière précaire laisse présager qu'il ne s'acquitterait pas d'une peine pécuniaire. 3.2.2. Les faits objets de la présente procédure sont antérieurs à ceux visés par le jugement du 6 avril 2022 du TP et postérieurs - en partie (du 22 décembre au 11 juin 2021) - à la condamnation du 21 décembre 2020. Cette configuration n’a pas encore été envisagée par le Tribunal Fédéral. 3.2.2.1. Il y a concours rétrospectif partiel, dès lors que la présente procédure concerne des faits commis entre les mois d’octobre 2020 et juin 2021, soit avant et après la condamnation intervenue le 21 décembre 2020. Il y a en revanche concours rétrospectif complet en lien avec la condamnation du 6 avril 2022. Le premier groupe d’infractions - réprimées d’une peine privative de liberté - est composé des faits faisant l’objet de la condamnation intervenue le 21 décembre 2020 et des faits antérieurs à celle-ci. Il convient de déterminer la peine d’ensemble hypothétique pour les faits commis le 5 et 27 octobre 2020, du 5 octobre au 30 novembre 2020, le 30 novembre 2020 et le 19 décembre 2020 avec ceux faisant l’objet de la condamnation du 21 décembre 2020 (peine privative de liberté de 180 jours pour violation de l’interdiction de pénétrer dans une région indéterminée, entrée et séjour illégaux et délits à la LStup). Il faut retenir que si tous les faits avaient été jugés en même temps, une peine privative de liberté de base de 40 jours aurait été fixée pour le recel. Cette peine aurait été aggravée de 15 jours (peine théorique de 30 jours) pour l’entrée illégale commise le 5 octobre 2020 et de 30 jours (peine théorique de 60 jours) pour tenir compte de la seconde entrée illégale commise le 1 er décembre 2020, de 30 jours (peine théorique de 60 jours) pour séjour illégal (période complète : 5 octobre au 30 novembre 2020 et du 1 er au 20 décembre 2020), de 45 jours (peine théorique de 90 jours) pour la violation de l’interdiction de pénétrer dans une région indéterminée commise le 30 novembre 2020 et de 60 jours pour tenir compte de la seconde violation commise le 13 décembre 2020 (peine théorique de 120 jours), de 20 jours (peine théorique de 45 jours) pour les quatre délits à la LStup commis le 27 octobre et le 30 novembre 2020 et de 15 jours (peine théorique de 30 jours) pour le délit à la LStup commis le 1 er décembre 2020. Une peine privative d’ensemble aurait ainsi été arrêtée à 255 jours, d’où le prononcé d’une peine complémentaire de 75 jours (255 – 180). Le deuxième groupe d’infractions est composé des faits commis postérieurement à la condamnation du 21 décembre 2020. Dès lors que ces faits sont antérieurs à la condamnation du 6 avril 2022, il convient de fixer une peine complémentaire à la peine de huit mois de peine privative de liberté issue de cette dernière condamnation. Si le juge du 6 avril 2022 avait jugé toutes les infractions ensemble, il aurait déterminé l’infraction objectivement la plus grave (art. 119 al. 1 LEI) pour fixer une peine de base de 90 jours. Il l’aurait aggravée à chaque fois de 30 jours (peine théorique de 90 jours) pour les autres huit infractions à l’art. 119 al. 1 LEI des 30 novembre 2020, 24 janvier, 3, 19 et 27 février, 11 et 13 mars, 5 mai et 11 juin 2021, de dix jours (peine théorique 30 jours) pour l’entrée illégale du 11 juin 2021, de 40 jours (peine théorique de 80 jours) pour le séjour illégal (période complète : du 22 décembre 2020 au 5 mai 2021 et du 13 juin 2021 au 17 janvier 2022), à chaque fois de cinq jours (peine théorique de 15 jours) pour les deux infractions à la LStup des 19 et 27 février 2020 et à chaque fois de 15 jours (peine théorique de 30 jours) pour les autres six délits à la LStup commis les 13, 16 et 30 décembre 2021 et les 9, 15 et 17 janvier 2022. Une peine privative d’ensemble aurait ainsi été arrêtée à 480 jours, d’où le prononcé d’une peine complémentaire de huit mois ou 240 jours (480 – 240). Le cumul de ces deux sanctions conduit à une peine de 315 jours (75 + 240). 3.2.2.2 . Seule une peine pécuniaire peut être prononcée pour infraction à l’art. 286 al. 1 CP. Il convient de déterminer la peine d’ensemble hypothétique pour les faits commis le 3 février, 27 février avec celui faisant l’objet de la condamnation du 6 avril 2022 (empêchement d’accomplir un acte officiel du 11 août 2021). Si le juge du 6 avril 2022 avait jugé toutes les infractions ensemble, il aurait déterminé l’infraction la plus grave (empêchement d’accomplir un acte officiel) pour fixer une peine de base de dix jours. Cette peine aurait été aggravée de 15 jours (peine théorique de 30 jours) pour chacune des deux autres infractions. La peine pécuniaire d’ensemble aurait ainsi dû être arrêtée à 40 jours, d’où le prononcé dans la présente d’une peine pécuniaire complémentaire de 30 jours-amende (40 - 10) à CHF 10.- l’unité. La peine privative de liberté d’ensemble complémentaire devrait ainsi être une peine privative de liberté de 315 jours, à laquelle s’ajoute une peine pécuniaire de 30 jours-amende. Ces peines sont largement supérieures aux peines prononcées par le premier juge. Il est donc superflu d’examiner une éventuelle atténuation de peine découlant des règles du concours. Au vu de l’interdiction de la reformatio in peius (art. 391 al. 2 CPP), la CPAR ne peut pas aller au-delà de la sanction prononcée par le premier juge. Partant, la peine privative de liberté de sept mois additionnée d’une peine pécuniaire de 20 jours-amende à CHF 10.- l’unité prononcée par le premier juge s’avère adéquate et sera confirmée. 3.2.2.3. Seule une amende peut être prononcée pour infraction à l’art. 19a ch. 1 CP. Si toutes les contraventions avaient été jugées ensemble, une amende de base de CHF 100.- aurait été fixée pour la contravention à la LStup (art. 19a ch. 1 CP). Elle aurait été aggravée de CHF 50.- (amende théorique de CHF 100.-) pour chacune des contraventions à la LStup des 22 décembre 2020 et 4 mai 2021. La quotité de l’amende aurait été arrêtée à CHF 200.-, d’où le prononcé d’une amende complémentaire de CHF 100.- (200 - 100), assortie d’une peine privative de substitution d’un jour. L’amende prononcée par le premier juge sera également confirmée. 3.2.2.4. La non-révocation du sursis accordé le 21 décembre 2020 par le MP, acquis à l'appelant (art. 391 al. 2 CPP), sera confirmée. Néanmoins, compte tenu du fait que le délai d’épreuve a déjà été prolongé d’une année par le jugement du TP rendu le 6 avril 2022, la prolongation du délai d’épreuve ne saurait excéder six mois. Le jugement sera réformé sur ce point. N’ayant pas été contestés, il n’y a pas lieu d’examiner sur les autres points du jugement entrepris (art. 404 al. 1 CP). L’appel sera très partiellement admis.</w:t>
      </w:r>
    </w:p>
    <w:p>
      <w:r>
        <w:rPr>
          <w:b/>
        </w:rPr>
        <w:t>E. 4</w:t>
      </w:r>
    </w:p>
    <w:p>
      <w:r>
        <w:t>4.1.1.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4.1.2. Néanmoins, l'art. 428 al. 2 let. a CPP prévoit que lorsqu'une partie qui interjette un recours obtient une décision qui lui est plus favorable, les frais de la procédure peuvent être mis à sa charge notamment si les conditions qui lui ont permis d'obtenir gain de cause n'ont été réalisées que dans la procédure de recours. 4.2.1. En l'occurrence, il n'y a pas lieu de revoir les frais de la procédure de première instance, dès lors que l'appelant est reconnu coupable de tous les faits qui lui sont reprochés (art. 426 al. 1 et 428 al. 3 CPP). 4.2.2. En appel, il a été retenu que la peine prononcée par le TP pour les faits objets de la présente procédure n'était pas critiquable. Le jugement doit néanmoins être réformé en raison de celui intervenu le 6 avril 2022 rendu dans la procédure P/7______/2022 , lequel a une incidence sur le nombre de jours à déduire pour fixer la prolongation du délai d’épreuve dans la présente procédure. Il apparaît ainsi que les conditions lui permettant d'obtenir une décision plus favorable n'ont été réalisées que postérieurement à son appel. Il convient dès lors de condamner l'appelant à la totalité des frais de la procédure d'appel, y compris l'émolument complémentaire de jugement fixé par le TP (art. 428 CPP ; 14 al. 1 let. e du règlement fixant le tarif des frais et dépens en matière pénale [RTFMP]).</w:t>
      </w:r>
    </w:p>
    <w:p>
      <w:r>
        <w:rPr>
          <w:b/>
        </w:rPr>
        <w:t>E. 5</w:t>
      </w:r>
    </w:p>
    <w:p>
      <w:r>
        <w:t>Considéré globalement, l'état de frais produit par M e C______, défenseure d'office de A______, satisfait les exigences légales et jurisprudentielles régissant l'assistance judiciaire gratuite en matière pénale. Sa rémunération sera partant arrêtée à CHF 775.45, correspondant à 3h d'activité au tarif de CHF 200.-/heure (CHF 600.-) plus la majoration forfaitaire de 20% (CHF 120.-) et l'équivalent de la TVA au taux de 7.7% en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