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P/20158/2022 vom 7. August 2025</w:t>
      </w:r>
    </w:p>
    <w:p>
      <w:r>
        <w:t>GE Cour de justice, 2025-08-07, FR</w:t>
      </w:r>
    </w:p>
    <w:p>
      <w:r>
        <w:rPr>
          <w:b/>
        </w:rPr>
        <w:t xml:space="preserve">Quelle: </w:t>
      </w:r>
      <w:r>
        <w:t>https://mcp.opencaselaw.ch/entscheid/ge_gerichte_P_20158_2022</w:t>
      </w:r>
    </w:p>
    <w:p>
      <w:r>
        <w:t>FR: GE_GERICHTE P/20158/2022 du 7 août 2025</w:t>
      </w:r>
    </w:p>
    <w:p>
      <w:r>
        <w:t>IT: GE_GERICHTE P/20158/2022 del 7 agosto 2025</w:t>
      </w:r>
    </w:p>
    <w:p>
      <w:pPr>
        <w:pStyle w:val="Heading2"/>
      </w:pPr>
      <w:r>
        <w:t>Regeste</w:t>
      </w:r>
    </w:p>
    <w:p>
      <w:r>
        <w:t>CONCOURS D'INFRACTIONS;MISE EN DANGER DE LA VIE D'AUTRUI(ART. 129 CP);VIOLENCE CONTRE LES AUTORITÉS | CP.49.al3; aCP.129.al1; aCP.285</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À cet égard, la conclusion en acquittement formée par l'intimé aux débats d'appel apparaît a priori irrecevable, faute pour lui d'avoir formé un appel ou un appel joint. La CPAR examinera dès lors uniquement si sa condamnation pour violence ou menace contre les autorités et les fonctionnaires est illégale ou inéquitable au sens de l'art.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rPr>
          <w:b/>
        </w:rPr>
        <w:t>E. 2.2</w:t>
      </w:r>
    </w:p>
    <w:p>
      <w:r>
        <w:t>L'art. 111 CP réprime le comportement de celui qui tue intentionnellement une personne. Sur le plan subjectif, l'auteur doit avoir l'intention de causer par son comportement la mort d'autrui. 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La nature de la lésion subie par la victime et sa qualification d'un point de vue objectif est sans pertinence pour juger si l'auteur s'est rendu coupable de tentative de meurtre (ATF 137 IV 113 consid. 1.4.2 p. 115 s. ; arrêts du Tribunal fédéral 6B_86/2019 du 8 février 2019 consid. 2.1 ; 6B_924/2017 du 14 mars 2018 consid. 1.4.5).</w:t>
      </w:r>
    </w:p>
    <w:p>
      <w:r>
        <w:rPr>
          <w:b/>
        </w:rPr>
        <w:t>E. 2.3</w:t>
      </w:r>
    </w:p>
    <w:p>
      <w:r>
        <w:t>Conformément à l'art. 122 CP, dans sa teneur en vigueur au moment des faits, celui qui, intentionnellement, aura blessé une personne de façon à mettre sa vie en danger (let. a), mutilé le corps d'une personne, un de ses membres ou un de ses organes importants ou causé à une personne une incapacité de travail, une infirmité ou une maladie mentale permanentes, ou défiguré une personne d’une façon grave et permanente (let. b), ou encore fait subir à une personne toute autre atteinte grave à l'intégrité corporelle ou à la santé physique ou mentale (let. c), est passible d'une peine privative de liberté de six mois à dix ans.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2.4.1. Aux termes de l'art. 129 CP, quiconque, sans scrupules, met autrui en danger de mort imminent est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 arrêt du Tribunal fédéral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 arrêt du Tribunal fédéral 6B_144/2019 du 17 mai 2019 consid. 3.1). L'absence de scrupules doit être admise dans tous les cas où la mise en danger de mort intervient pour un motif futile ou apparaît clairement disproportionnée, de sorte qu'elle dénote un profond mépris de la vie d'autrui (arrêts du Tribunal fédéral 6B_418/2021 du 7 avril 2022 consid. 5.1 ; 6B_698/2017 du 13 octobre 2017 consid. 4.2). Plus le danger connu de l'auteur est grand et moins ses mobiles méritent attention, plus l'absence de scrupules apparaît comme évidente (ATF 107 IV 163 ).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Cette infraction se distingue du délit manqué de meurtre par dol éventuel par le contenu de l'intention de l'auteur. L'acceptation, même par dol éventuel, de la réalisation de l'issue fatale conduit à admettre un homicide intentionnel ou une tentative d'homicide intentionnel. En revanche, il conviendra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(ATF 107 IV 163 consid. 3 ; arrêt du Tribunal fédéral 6B_144/2019 du 17 mai 2019 consid. 3.1). 2.4.2. Le Tribunal fédéral a notamment retenu que les conditions de l'art. 129 CP étaient remplies dans le cas d'un automobiliste qui, voyant un contrôle de police, ne s'est pas arrêté, mais pour éviter dit contrôle a délibérément accepté de foncer sur deux gendarmes, de nuit, forçant le premier agent à bouger, passant tout à côté et à vive allure du second, prenant ainsi le risque de les tuer (cf. arrêt du Tribunal fédéral 6B_835/2018 du 8 novembre 2018 consid. 1). La mise en danger de la vie d'autrui a également été retenue dans le cas d'une course-poursuite lors de laquelle le conducteur a violemment percuté un véhicule de police qui s'était mis en travers de la chaussée de manière à lui bloquer le passage, avant de prendre la fuite (cf. arrêt du Tribunal fédéral 6B_876/2015 du 2 mai 2016 consid. 2 non publié aux ATF 142 IV 245 ). L'art. 129 CP a également été retenu s'agissant d'un automobiliste qui avait lancé à l'improviste, de nuit, sa voiture à 40/60 km/h contre un piéton marchant au bord de la route, lequel avait dû sauter dans le fossé pour éviter l'impact (cf. arrêt 6S_320/1992 du 6 juillet 1992 consid. 2). Le Tribunal fédéral a encore retenu une mise en danger de la vie d'autrui au sens de l'art. 129 CP pour un automobiliste qui, en voyant un contrôle de gendarmerie, n'a pas obtempéré au signe d'arrêt, mais pour éviter dit contrôle a accéléré à une vitesse de 40 km/h en voiture en direction d'un policier, à quelque 15 à 20 mètres de distance, de nuit, ce qui avait obligé ce dernier à se déplacer très rapidement sur le côté afin de ne pas être heurté par le véhicule (cf. arrêt du Tribunal fédéral 6B_386/2022 du 20 décembre 2022 consid. 2.4). Enfin, il a retenu une mise en danger dans le cas d'un automobiliste qui avait délibérément visé un garde-frontière pour assurer sa fuite, en se mettant sur la même voie que lui et en changeant de voie en même temps que l'agent, pour lui foncer dessus. L'agent avait dû faire un bond de côté afin de ne pas être percuté par le véhicule qui n'avait jamais ralenti et était passé très près de lui, soit à un mètre environ, à une vitesse qui ne lui aurait pas permis de s'arrêter si le garde-frontière ne s'était pas écarté de sa route (arrêt du Tribunal fédéral 6B_1326/2022 du 29 novembre 2023, dont il ne ressort aucune autre indication sur la vitesse du véhicule concerné).</w:t>
      </w:r>
    </w:p>
    <w:p>
      <w:r>
        <w:rPr>
          <w:b/>
        </w:rPr>
        <w:t>E. 2.5</w:t>
      </w:r>
    </w:p>
    <w:p>
      <w:r>
        <w:t>Selon l'art. 237 ch. 1 al. 1 CP, dans sa teneur en vigueur en janvier 2023,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L'art. 237 CP tend à protéger la vie et l'intégrité corporelle des personnes qui prennent part à la circulation publique et protège, accessoirement, ladite circulation (ATF 134 IV 255 consid. 4.1 ; arrêt du Tribunal fédéral 6B_403/2016 du 28 novembre 2017 consid. 1.3.1). Le comportement punissable consiste à empêcher, troubler ou mettre en danger la circulation publique. Est ainsi visée toute action humaine qui met en danger la vie ou l'intégrité corporelle des participants à la circulation publique, de sorte que le comportement punissable est déterminé par ses effets, non par une manière caractéristique de se comporter. Il suffit que l'acte ait mis en danger la vie ou l'intégrité corporelle d'une seule personne ; il n'est pas nécessaire que la mise en danger ait un caractère collectif. En revanche, la mise en danger doit être concrète, c'est-à-dire qu'une lésion doit avoir été sérieusement vraisemblable (ATF 134 IV 255 consid. 4.1 ; arrêt du Tribunal fédéral 6B_1132/2017 du 3 octobre 2018 consid. 1.3). Toute mise en danger des occupants d'un moyen de transport – public ou privé –, indépendamment de la relation avec l'auteur de l'infraction, suffit à faire partie des éléments constitutifs de l'art. 237 CP (ATF 149 IV 116 consid. 5.2.2). La victime au sens de l'art. 237 CP ne peut cependant être que l'usager qui est mis fortuitement en danger par l'auteur et qui représente ainsi par rapport à ce dernier l'ensemble des usagers, à l'exclusion de celui qui a choisi d'entrer en rapport avec l'auteur, par exemple en se confiant comme passager à un conducteur particulier (ATF 149 IV 116 consid. 5.2.4).</w:t>
      </w:r>
    </w:p>
    <w:p>
      <w:r>
        <w:rPr>
          <w:b/>
        </w:rPr>
        <w:t>E. 2.6</w:t>
      </w:r>
    </w:p>
    <w:p>
      <w:r>
        <w:t>À teneur de l'art. 285 ch. 1 1 ère phrase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L’art. 285 CP réprime deux infractions différentes: la contrainte contre les autorités ou les fonctionnaires et les voies de fait contre ceux-ci (arrêts du Tribunal fédéral 6B_366/2021 du 26 janvier 2022 consid. 3.1 ; 6B_1191/2019 du 4 décembre 2019 consid. 3.1 ; 6B_863/2015 du 15 mars 2016 consid. 1.1).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w:t>
      </w:r>
    </w:p>
    <w:p>
      <w:r>
        <w:rPr>
          <w:b/>
        </w:rPr>
        <w:t>E. 2.7</w:t>
      </w:r>
    </w:p>
    <w:p>
      <w:r>
        <w:t>En l'espèce, il ressort des faits et du rapport du GAVA que, de nuit et alors qu'il est myope, le prévenu a forcé le passage lors d'un contrôle de police, accélérant en direction du policier à une vitesse qui n'a pas pu être déterminée mais n'a pas atteint 40 km/h. Dans cette manœuvre, il a légèrement touché le policier, qui s'était écarté précipitamment pour éviter le véhicule. Sans cette manœuvre d'évitement, et au vu des déclarations des participants, du choc qui a néanmoins eu lieu et de la position des différents véhicules, l'intimé aurait certainement touché et renversé le policier. Quand bien même la vitesse de son véhicule n'a pas pu être établie avec certitude, la Cour retient qu'elle se situait aux alentours de 30 km/h, vitesse compatible tant avec les constatations du GAVA qu'avec les propres déclarations du prévenu. Une telle vitesse est considérée comme moins dangereuse pour les piétons, essentiellement en raison du fait que la distance de freinage est beaucoup plus courte lorsqu'un véhicule circule à 30 km/h plutôt qu'à 50 km/h (cf. arrêt du Tribunal fédéral 1C_11/2017 du 2 mars 2018 consid. 4.4.1) et que le conducteur est donc à même d'éviter plus facilement une collision ; à cela s'ajoute que si une collision survient, la vitesse moindre diminuera le choc. En revanche, quelle que soit la vitesse à laquelle il roule, il tombe sous le sens que la masse d'un véhicule, rapportée à celle d'un piéton, demeure très importante et représente un danger très élevé en cas de collision. Or, en l'espèce, il est établi que le prévenu n'a pas freiné, mais était au contraire en train d'accélérer à l'approche du plaignant. Un choc avec celui-ci aurait donc pu avoir des conséquences très graves : à défaut d'avoir freiné avant le choc, et même si le choc avait finalement amené le conducteur à freiner, le véhicule aurait roulé sur le piéton après la collision, avec des conséquences vraisemblablement fatales pour celui-ci. Ce n'est qu'en raison du réflexe rapide du policier, qui s'est selon ses propres termes " jeté " en arrière pour éviter le choc, que celui-ci n'a finalement été que très léger : sans ce geste salvateur, la collision serait arrivée. Le fait qu'un choc soit néanmoins survenu – certes avec la ceinture de charge et la torche du plaignant – démontre par ailleurs que l'intimé a bien roulé directement en direction de l'agent de police. S'il ne peut, sur la base des éléments objectifs du dossier et en vertu du principe in dubio pro reo, être exclu que le choc avec la torche soit intervenu en raison d'un geste du policier, en revanche, le fait que la torche touche le véhicule, et surtout le frottement sur la ceinture de charge de l'agent démontre bien que le véhicule a frôlé le piéton et que la collision, avec les conséquences fatales évoquées ci-dessus, n'a donc été évitée que d'extrême justesse. Le comportement de l'intimé était totalement disproportionné. Pour se soustraire à un contrôle alors qu'il se savait circuler sous défaut de permis de conduire (et sous l'emprise de stupéfiants), il n'a pas hésité à accélérer en direction du plaignant, pour prendre la fuite. Il admet avoir vu le plaignant, qui était d'ailleurs équipé de façon à être clairement visible et reconnaissable, et avoir compris qu'il avait affaire à des policiers. Il a néanmoins accéléré son véhicule en direction de l'agent se trouvant devant lui, ne l'évitant de justesse que grâce à une manœuvre précipitée de celui-ci. Le prévenu a d'ailleurs admis avoir, par son comportement, mis en danger les autres usagers et notamment le plaignant, sans avoir voulu porter atteinte à l'intégrité de celui-ci. Il s'agit typiquement d'un comportement qui remplit les conditions objectives et subjectives de l'art. 129 CP. L'art. 237 CP, retenu par les premiers juges, ne trouve en particulier pas application dans la mesure où c'est une personne spécifique – le plaignant, agent de police – qui a été victime, en cette qualité, du comportement de l'intimé, et non comme représentant fortuit de l'ensemble des usagers. L'appel du MP doit par conséquent être admis. En revanche, rien ne permet de retenir que le prévenu a envisagé et accepté le risque mortel qu'il a fait courir au plaignant, de sorte que seules les conclusions subsidiaires de celui-ci seront admises. Il n'y a enfin pas matière à rectification du jugement entrepris en lien avec la condamnation de l'intimé pour infraction à l'art. 285 CP. En effet, par ses actes il a violemment empêché les policiers de procéder à un contrôle entrant dans leurs fonctions. L'art. 129 CP ne protégeant pas l'autorité publique, les deux infractions entrent en concours idéal (A. MACALUSO / L. MOREILLON / N. QUELOZ (éds), Commentaire romand, Code pénal II, Partie spéciale : art. 111-392 CP, Bâle 2017, n. 33 ad art. 129 CP).</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 3.2.2.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3.2.3.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retenue pour sanctionner la ou les infractions commises antérieurement au jugement précédent à celle retenue pour sanctionner les infractions commises postérieurement à cette décision (ATF 145 IV 1 consid. 1). 3.2.4. L'art. 49 al. 3 CP prévoit que si l'auteur a commis une ou plusieurs infractions avant l'âge de 18 ans, le juge fixe la peine d'ensemble en application des al. 1 et 2 de sorte qu'il ne soit pas plus sévèrement puni que si les diverses infractions avaient fait l'objet de jugements distincts. Cette disposition a été introduite au moment de la modification de la partie générale du Code pénal en 2007. Elle n'a pas fait l'objet d'un commentaire dans le message du Conseil fédéral (FF 1999 1787 ss), mais bien dans le Rapport de l'Office fédéral de la justice concernant la révision de la Partie générale et du Troisième livre du Code pénal et concernant une Loi fédérale régissant la condition pénale des mineurs[1]. Il en ressort que la disposition s'applique aux actes que l'auteur a commis avant d'avoir atteint l'âge de 18 ans révolus et tient compte lors du calcul de la peine d'ensemble qu'ils ne doivent pas entraîner une aggravation de la peine supérieure à la peine qui aurait été prononcée si ces actes avaient été jugés seuls. La doctrine et la jurisprudence au sujet de cette disposition sont rares voire inexistantes. La CPAR en retire toutefois que le fait que le TMIN ait attendu plus d'un an après la majorité du prévenu pour statuer sur les infractions commises alors qu'il était mineur ne doit pas lui porter préjudice et conduire à une peine plus sévère que si la condamnation était intervenue pendant sa minorité.</w:t>
      </w:r>
    </w:p>
    <w:p>
      <w:r>
        <w:rPr>
          <w:b/>
        </w:rPr>
        <w:t>E. 3.3</w:t>
      </w:r>
    </w:p>
    <w:p>
      <w:r>
        <w:t>À teneur de l'art. 43 al. 1 CP, le juge peut suspendre partiellement l'exécution d'une peine privative de liberté d'un an au moins et de trois ans au plus afin de tenir compte de façon appropriée de la faute de l'auteur. Un sursis partiel au sens de cette disposition n'entre en ligne de compte que si et dans la mesure où les conditions posées à l'art. 42 al. 2 CP pour le prononcé d'un sursis sont réalisées. Les conditions subjectives auxquelles l'art. 42 CP soumet l'octroi du sursis intégral s'appliquent également à l'octroi du sursis partiel (ATF 139 IV 270 consid. 3.3 p. 277 ; ATF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Par conditions subjectives, il faut entendre notamment la condition posée à l'art. 42 al. 2 CP (ATF 134 IV 1 consid. 4.2 et 4.2.3 p. 5 ss). Il s'ensuit que l'octroi du sursis partiel est exclu si, durant les cinq ans qui précèdent l'infraction, l'auteur a été condamné à une peine privative de liberté ferme ou avec sursis de plus de six mois ou à une peine pécuniaire de plus de cent quatre-vingts jours-amende, sauf s'il justifie de circonstances particulièrement favorables (cf. arrêt du Tribunal fédéral 6B_869/2016 du 1 er juin 2017 consid. 4.2). Pour l'application de cette condition, il ne faut toutefois pas tenir compte des condamnations de la justice des mineurs. En effet, les sanctions prévues par le droit pénal des mineurs n'ont pas de finalité rétributive. Elles ne constituent dès lors pas un motif objectif d'exclusion du sursis et ne sauraient, d'un point de vue objectif, fonder un pronostic défavorable (L. MOREILLON / A. MACALUSO / N. QUELOZ / N. DONGOIS (éds), Commentaire romand, Code pénal I, art. 1-110 CP, 2 ème éd., Bâle 2021, n. 20 ad art. 42 CP ; M. NIGGLI / H. WIPRÄCHTIGER, Basler Kommentar Strafrecht I : Art. 1-136 StGB,</w:t>
      </w:r>
    </w:p>
    <w:p>
      <w:r>
        <w:rPr>
          <w:b/>
        </w:rPr>
        <w:t>E. 3.4</w:t>
      </w:r>
    </w:p>
    <w:p>
      <w:r>
        <w:t>La faute de l'intimé est lourde. En l'espace d'un peu plus de deux ans, il a commis de nombreuses infractions en matière de circulation routière, persistant à circuler au guidon ou au volant de véhicules à moteur sans être titulaire du permis idoine. Il a multiplié les excès de vitesse, parfois très graves, et s'est soustrait à deux reprises à des contrôles de police, prenant le risque, la première fois, de tuer l'un des agents. Une première détention – consécutive aux faits du 23 janvier 2023 – ne semble pas avoir suffi à le détourner de son comportement puisqu'il a récidivé le 23 mars 2024. La situation personnelle de l'intimé n'explique ni ne justifie son comportement. Il est bien intégré à Genève, à l'aube de sa vie professionnelle et entouré par sa famille ; les difficultés relationnelles avec son père ne sauraient en particulier expliquer son attitude. Il explique ses actes par son goût immodéré des véhicules automobiles, explication qui fait craindre, notamment au vu de l'emploi qu'il exerce depuis sa mise en liberté, qu'il ne soit tenté de récidiver ou à tout le moins exposé à des situations pouvant induire la tentation de prendre le volant ou le guidon. Il présente trois inscriptions à son casier judiciaire, dont l'une prononcée par le TMIN. Ces antécédents sont en partie spécifiques. Le prononcé d'une peine pécuniaire avec sursis du 28 mai 2022 n'a manifestement pas suffi à le dissuader de récidiver, pas plus que la lourde peine privative de liberté fixée par le juge des mineurs. À raison, il ne conteste pas le prononcé d'une peine privative de liberté pour l'ensemble des infractions passibles d'une telle peine, seule susceptible, au vu des nombreuses récidives, de le dissuader enfin de récidiver. Dans cette mesure, il n'y a pas de concours rétrospectif avec les condamnations prononcées par le MP, qui portent sur des peines d'un genre différent. En revanche, une grande partie des faits faisant l'objet de la procédure est antérieure à la condamnation du TMIN du 16 février 2023, tandis que les faits du 23 mars 2024 sont intervenus postérieurement. On se trouve donc dans une situation de concours rétrospectif partiel, et la CPAR doit procéder en deux temps pour fixer la peine.</w:t>
      </w:r>
    </w:p>
    <w:p>
      <w:r>
        <w:rPr>
          <w:b/>
        </w:rPr>
        <w:t>E. 3.4.1</w:t>
      </w:r>
    </w:p>
    <w:p>
      <w:r>
        <w:t>En ce qui concerne les faits antérieurs à la condamnation du TMIN, ils doivent faire l'objet d'une peine d'ensemble avec celle-ci. L'infraction objectivement la plus grave est la mise en danger d'autrui. Au vu du lien étroit entre toutes les infractions commises le 23 janvier 2023 (art. 129 CP, art. 90 al. 2, 95 al. 1. let a et 91 al. 2 let. b LCR, art 22 CP et 91a LCR), il apparaît justifié de retenir, pour ces faits, une peine privative de liberté globale de deux ans. Cette peine doit être aggravée à chaque fois de 20 jours (peines théoriques d'un mois) pour les cinq autres occurrences de conduites sans autorisation (art. 95 al. 1 let. a LCR) ainsi que pour les quatre occurrences de mises à disposition d'un véhicule à un conducteur ne disposant pas du permis de conduire requis (art. 95 al. 1 let. e LCR), pour une peine totale de trente mois. L'aggravation à effectuer en raison de la condamnation à une peine privative de liberté de 218 jours du TMIN (laquelle est déjà une peine d'ensemble, ce qui conduit à une application modérée du principe d'aggravation) porte cette peine à trois ans. Compte tenu de la peine de 218 jours déjà prononcée par le TMIN, la peine complémentaire pour sanctionner les faits antérieurs à ce jugement doit être arrêtée à deux ans et 147 jours (365 – 218).</w:t>
      </w:r>
    </w:p>
    <w:p>
      <w:r>
        <w:rPr>
          <w:b/>
        </w:rPr>
        <w:t>E. 3.4.2</w:t>
      </w:r>
    </w:p>
    <w:p>
      <w:r>
        <w:t>En ce qui concerne les faits du 23 mars 2024, la CPAR doit fixer une peine indépendante. À cet égard, le prévenu peut se prévaloir de l'art 90 al. 3ter LCR, ses antécédents ne portant pas sur un crime ou un délit routier ayant gravement mis en danger la sécurité de tiers ou ayant entraîné des blessures ou la mort de tiers (ATF 151 IV 188). Au vu de la connexité des faits, la CPAR retient qu'une peine d'ensemble de neuf mois est adéquate pour sanctionner la violation fondamentale des règles de la circulation routière, la conduite sans autorisation et l'entrave aux mesures visant à constater l'incapacité de conduire (art. 90 al. 3 et 4, 95 al. 1. let a et 91a LCR). La peine encourue par le prévenu s'élève ainsi à quelques trois ans et 57 jours. Cela étant, lorsque la peine entrant en considération excède de peu la limite au-delà de laquelle le sursis ou le sursis partiel ne peut plus être octroyé, le juge doit examiner, sous l'angle de la prévention spéciale, si une peine encore compatible avec le sursis n’est pas néanmoins suffisante pour détourner l'intéressé de commettre de nouvelles infractions (ATF 118 IV 337 consid. 2c p. 339-340). En l'espèce, le prévenu remplit la condition objective du sursis partiel (art. 42 al. 2 CP), dans la mesure où il ne doit pas être tenu compte de la condamnation du TMIN (supra consid. 3.3 ; la même conclusion doit être tirée de l'art. 49 al. 3 CP). Sur le plan subjectif, et bien qu'il s'agisse d'un cas limite au vu de la répétition des infractions, la CPAR veut croire que les détentions subies avant jugement, et notamment jusqu'au prononcé des premiers juges, sont de nature à le détourner de commettre de nouvelles infractions. Dans ces conditions, il se justifie de ramener la peine d'ensemble à trois ans et le prévenu sera donc mis au bénéfice du sursis partiel, assorti des règles de conduite et de l'assistance de probation ordonnées par le TCO, qu'il n'a pas contestées et qui paraissent aptes à prévenir toute récidive. Le délai d'épreuve, fixé à quatre ans par les premiers juges, sera porté au maximum légal de cinq ans. En effet, une telle durée apparaît nécessaire pour convaincre le prévenu de rester dans le droit chemin et poursuivre ses efforts de réinsertion.</w:t>
      </w:r>
    </w:p>
    <w:p>
      <w:r>
        <w:rPr>
          <w:b/>
        </w:rPr>
        <w:t>E. 3.5</w:t>
      </w:r>
    </w:p>
    <w:p>
      <w:r>
        <w:t>Le MP n'a pas développé d'argument pour exposer en quoi l'amende de CHF 500.- prononcée par les premiers juges pour les contraventions commises par l'intimé serait insuffisante. La situation personnelle et financière de celui-ci n'est pas particulièrement favorable. À cela s'ajoute qu'il devra supporter d'importants frais de justice ainsi que l'indemnité qu'il reconnaît devoir à la partie plaignante. Dans ces circonstances, le montant de CHF 500.- pour sanctionner quatre contraventions (deux violations simples des règles de la circulation, art. 90 al. 1 LCR ; la violation des devoirs en cas d'accident, art. 92 al. 2 LCR, et la consommation de stupéfiants, art. 19a LStup), apparaît proportionné et adéquat. Il sera confirmé.</w:t>
      </w:r>
    </w:p>
    <w:p>
      <w:r>
        <w:rPr>
          <w:b/>
        </w:rPr>
        <w:t>E. 3.6</w:t>
      </w:r>
    </w:p>
    <w:p>
      <w:r>
        <w:t>Le MP conclut à la révocation du sursis dont a bénéficié le prévenu le 28 mai 2022.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En l'espèce, l'intimé est mis au bénéfice d'un sursis partiel au motif qu'un pronostic favorable reste possible ; il doit dès lors être renoncé à la révocation de ce sursis. Un avertissement sera toutefois prononcé et le délai d'épreuve prolongé de la moitié soit 18 mois.</w:t>
      </w:r>
    </w:p>
    <w:p>
      <w:r>
        <w:rPr>
          <w:b/>
        </w:rPr>
        <w:t>E. 4</w:t>
      </w:r>
    </w:p>
    <w:p>
      <w:r>
        <w:t>Les appels ayant été partiellement admis, la moitié des frais de la procédure d'appel sera mise à la charge de l'intimé et le solde laissé à la charge de l'État. Il n'y a en particulier pas lieu de mettre une partie des frais de la procédure d'appel à charge de la partie plaignante, le retrait partiel de son appel étant consécutif à l'admission de ses conclusions civiles par l'intimé.</w:t>
      </w:r>
    </w:p>
    <w:p>
      <w:r>
        <w:rPr>
          <w:b/>
        </w:rPr>
        <w:t>E. 5</w:t>
      </w:r>
    </w:p>
    <w:p>
      <w:r>
        <w:t>Le TCO n'a pas statué sur le sort des pièces à conviction figurant à l'inventaire n° 45205820240323 (pièce Z-10), soit trois plaquettes de shit et une bonbonne d'hélium. Les parties ne se sont pas déterminées à ce sujet. Vu la nature de ces objets, leur confiscation et destruction seront d'office ordonnées (art. 69 CP et 19 LStup).</w:t>
      </w:r>
    </w:p>
    <w:p>
      <w:r>
        <w:rPr>
          <w:b/>
        </w:rPr>
        <w:t>E. 6</w:t>
      </w:r>
    </w:p>
    <w:p>
      <w:r>
        <w:t>Considéré globalement, l'état de frais produit par M e D______, défenseure d'office de C______, satisfait les exigences légales et jurisprudentielles régissant l'assistance judiciaire gratuite en matière pénale. Il convient cependant de le compléter de la durée de l'audience et d'une vacation . La rémunération de M e D______ sera partant arrêtée à CHF 2'655.65 correspondant à 11h10 d'activité au tarif de CHF 200.-/heure plus la majoration forfaitaire de 10% et l'équivalent de la TVA au taux de 8.1% en CHF 199.-.</w:t>
      </w:r>
    </w:p>
    <w:p>
      <w:r>
        <w:rPr>
          <w:b/>
        </w:rPr>
        <w:t>E. 7</w:t>
      </w:r>
    </w:p>
    <w:p>
      <w:r>
        <w:t>7.1.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3 e éd., Bâle 2023, n. 10 ad art. 433 ; D. JOSITSCH / N. SCHMID, Schweizerische Strafprozessordnung : Praxiskommentar, 4 e éd., Zurich 2023, n. 6 ad art. 433).</w:t>
      </w:r>
    </w:p>
    <w:p>
      <w:r>
        <w:rPr>
          <w:b/>
        </w:rPr>
        <w:t>E. 7.2</w:t>
      </w:r>
    </w:p>
    <w:p>
      <w:r>
        <w:t>En l'occurrence la partie plaignante ne supportant aucun frais et ayant obtenu gain de cause, il n'y a pas matière à réduction de l'indemnité. L'intimé n'a pas contesté la note d'honoraires présentée, qui apparaît adéquate au vu de l'ampleur de l'activité nécessaire. Le montant requis, au taux horaire facturé de CHF 300.-, sera dès lors accordé, la durée des débats d'appel devant toutefois être ajustée à leur durée effective. En conclusion, l'indemnité due à la partie plaignante sera arrêtée à CHF 3'199.75 correspondant à 9h52 d'activité au tarif de CHF 300.-/heure et l'équivalent de la TVA au taux de 8.1% en CHF 239.75.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