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P/20147/2018 vom 25. Februar 2020</w:t>
      </w:r>
    </w:p>
    <w:p>
      <w:r>
        <w:t>GE Cour de justice, 2020-02-25, FR</w:t>
      </w:r>
    </w:p>
    <w:p>
      <w:r>
        <w:rPr>
          <w:b/>
        </w:rPr>
        <w:t xml:space="preserve">Quelle: </w:t>
      </w:r>
      <w:r>
        <w:t>https://mcp.opencaselaw.ch/entscheid/ge_gerichte_P_20147_2018</w:t>
      </w:r>
    </w:p>
    <w:p>
      <w:r>
        <w:t>FR: GE_GERICHTE P/20147/2018 du 25 février 2020</w:t>
      </w:r>
    </w:p>
    <w:p>
      <w:r>
        <w:t>IT: GE_GERICHTE P/20147/2018 del 25 febbraio 2020</w:t>
      </w:r>
    </w:p>
    <w:p>
      <w:pPr>
        <w:pStyle w:val="Heading2"/>
      </w:pPr>
      <w:r>
        <w:t>Regeste</w:t>
      </w:r>
    </w:p>
    <w:p>
      <w:r>
        <w:t>VIOLATION DES RÈGLES DE LA CIRCULATION;CONCOURS D'INFRACTIONS | LCR.90.al3; LCR.90.al4; CP.49.al2</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La CPAR ne comprend pas ce qui est en définitive plaidé en appel, dans la mesure où la conclusion principale tendant au prononcé d'une peine pécuniaire est incompatible avec une condamnation pour violation de l'art. 90 al. 3 et 4 LCR. Il résulte par ailleurs des déclarations du prévenu lors des débats qu'il conteste encore avoir été conscient de l'ampleur de l'excès de vitesse constaté. La CPAR examinera partant également sa culpabilité.</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p. 351). 2.2.1.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 55 al. 1 de l'Ordonnance concernant les exigences techniques requises pour les véhicules routiers (OETV - RS 741.41), les véhicules automobiles doivent être munis d'un compteur de vitesse placé dans le champ visuel du conducteur et lisible également de nuit ; ce compteur doit pouvoir indiquer la vitesse maximale que le véhicule peut atteindre en kilomètres/par heure (km/h). Une indication supplémentaire en miles/heure est autorisée. 2.2.2.1. L'art. 90 al. 3 LCR définit et réprime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3 LCR contient deux conditions objectives, la violation d'une règle fondamentale de la circulation routière et la création d'un grand risque d'accident pouvant entraîner de graves blessures ou la mort A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Il découle de l'art. 90 al. 4 LCR que lorsque l'excès de vitesse atteint l'un des seuils fixés, la première condition objective de l'art. 90 al. 3 LCR, à savoir la violation d'une règle fondamentale de la circulation routière, est toujours remplie. 2.2.2.2. L'art. 90 al. 3 LCR réprime tant la mise en danger concrète de tiers, que la mise en danger abstraite accrue, c'est-à-dire une situation dangereuse très proche de l'accident pour une personne déterminée (ou pour un cercle déterminé de personnes, même si leurs identités ne sont pas connues) en raison des circonstances concrètes, sans pour autant que la, ou lesdites personnes, soient placées dans une situation de danger concret (ATF 126 IV 192 , consid. 3 ; 123 IV 88 , consid. 3a ; arrêts du Tribunal fédéral 6B_148/2016 du 29 novembre 2016, consid. 1.4.2 et 6B_374/2015 du 3 mars 2016, consid. 3.1 ; D. GALLIANO, Le délit de chaufard , Berne, 2019, p. 80 ; P. WEISSENBERGER, Kommentar Strassenverkehrsgesetz und Ordnungs-bussengesetz , 2e éd. 2015, n. 123, ad art. 90 ; M. NIGGLI / TH. PROBST / B. WALDMANN [éds], Basler Kommentar , Strassenverkehrsgesetz , Bâle 2014, n. 9 et 116, ad art. 90 ; W. WOHLERS / E. COHEN, " Verschärfte Sanktionen bei Tempoexzessen und sonstigen "elementaren" Verkehrsregelverletzungen ", Circulation routière 4/2013, p. 13). Toutefois, compte tenu du fait que la norme suppose "un grand risque d'accident", il s'agira d'une mise en danger abstraite accrue qualifiée, dans le sens qu'il faut être en présence d'une situation où la probabilité d'un accident avec une issue fatale ou des blessures graves soit presque certaine, pour le cas où une ou plusieurs personnes se trouvent à proximité (arrêt TF 6B_148/2016 du 29 novembre 2016, consid. 1.4.2 ; D. GALLIANO, op.cit ., pp. 80-81). 2.2.2.3.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(arrêt du Tribunal fédéral 6B_24/2017 du 13 novembre 2017, consid. 1.6). L'art. 90 al. 4 LCR crée ainsi une présomption réfragable de la réalisation de la condition objective du danger qualifié au sens de l'art. 90 al. 3 LCR (arrêt du Tribunal fédéral, 6B_24/2017 précité, consid. 1.6). 2.2.2.4. Sur le plan subjectif, l'art. 90 al. 3 LCR déroge à l'art. 100 ch. 1 LCR et limite la punissabilité à la seule intention. Toutefois, dans la mesure où l'auteur ne peut ignorer qu'il transgresse la norme, le dol éventuel suffit (A. BUSSY / B. RUSCONI / Y. JEANNERET / A. KUHN / C. MIZEL / CH. MÜLLER, Code suisse de la circulation routière : commentaire , 4e éd., Lausanne 2015, ad art. 90, p. 907 ; J. DÉLÈZE/ H. DUTOIT, op.cit ., p. 1207, 1211 et réf. citées ; L. MOREILLON, "Le délit de chauffard : aspect pénaux et procéduraux" , Journées du droit de la circulation routière 2014, p. 222 ; Cédric MIZEL, "Le délit de chauffard et sa répression pénale et administrative" , PJA 2013, p. 194). Dans ce dernier cas, le chauffard doit accepter de courir un grand risque d'accident pouvant entrainer de graves blessures ou la mort. Le Conseil fédéral, tout comme la doctrine, considère ainsi que l'auteur devait savoir ou, au minimum, estimer possible qu'il contrevenait à une règle essentielle de la circulation routière et que, dès lors, il s'accommodait d'un grand risque d'accident pouvant entraîner de graves blessures ou la mort (J. DÉLÈZE/ H. DUTOIT, op.cit. , p. 1211 et réf. citées). 2.2.2.5. Dans un arrêt de principe, le Tribunal fédéral a procédé à une analyse approfondie de l'interaction entre les alinéas 3 et 4 de l'art. 90 LCR en ce qui concerne l'élément subjectif de l'infraction. Il a constaté que si l'on comprenait sans ambiguïté du texte légal que l'atteinte de l'un des seuils énumérés à l'al. 4 constituait toujours un cas d'excès de vitesse particulièrement important au sens de l'art. 90 al. 3 LCR, le libellé de l'al. 4 n'était pas absolument clair s'agissant des autres conditions de réalisation de l'infraction. Conformément à l'avis unanime de la doctrine et compte tenu de la volonté du législateur d'interpréter le "délit de chauffard" de manière restrictive au vu des importantes conséquences pénales souhaitées par le peuple, le juge devait conserver une marge de manoeuvre, certes restreinte, afin d'exclure, dans des constellations particulières, la réalisation des conditions subjectives lors d'un dépassement de vitesse particulièrement important au sens de l'art. 90 al. 4 LCR (ATF 142 IV 137 , en particulier consid. 6.1 et 11.2; confirmé par l'arrêt du Tribunal fédéral 6B_24/2017 précité, consid. 1.2). Il ressort ainsi de cet arrêt que l'art. 90 al. 4 LCR crée également une présomption réfragable de la réalisation de l'élément subjectif de l'infraction réprimée par l'art. 90 al. 3 LCR. 2.3.1. L'appelant a d'emblée admis avoir été l'auteur de l'excès de vitesse du 5 octobre 2018 à 10h45 et l'importance du dépassement de vitesse de 79 km/h, marge de sécurité de 5 km/h déduite, sur un tronçon limité à 50 km/h, tel qu'enregistré par un radar. Il soutient toutefois qu'il n'avait pas conscience d'un tel excès dans la mesure où les deux compteurs, l'original, et de marque H______, installés sur son motocycle étaient défectueux. Or il ressort de l'expertise technique qui ne prête pas le flanc à la critique que si le premier de ces compteurs dysfonctionnait, se mettant en marche par intermittence, à savoir une fois que le moteur du motocycle était chaud, à compter d'une quinzaine de kilomètres, le compteur additionnel H______ fonctionnait, la seule problématique étant sa lisibilité de nuit. Or, il faisait jour au moment des faits, en matinée de sorte que rien n'empêchait le prévenu de se fier à la vitesse y indiquée. Ce dernier ne convainc ainsi pas lorsqu'il prétend que les deux compteurs étaient défectueux au moment des faits, ce qui est formellement contredit par l'expertise technique et par ses propres déclarations lorsqu'il a indiqué utiliser le compteur H______ pour connaître la distance parcourue entre chaque plein d'essence. Au demeurant, quand bien même ces deux compteurs n'auraient pas été fonctionnels au moment des faits s'agissant du contrôle de la vitesse du motocycle, le prévenu a expliqué être au courant de ces défaillances, présentes au moment de son acquisition pratiquement trois mois plus tôt, en juillet 2018, de sorte que c'est fautivement qu'il a conduit ce motocycle sur sol suisse en violation de l'art. 29 LCR. Il ne peut à cet effet valablement soutenir se fier au compte tours ou au bruit du motocycle pour déterminer qu'il circulait en règle générale aux vitesse autorisées. Il a concédé n'avoir pas respecté la vitesse de 60 km/h sur le tronçon concerné, ayant fortement accéléré après le passage de la douane de Corsier. La CPAR considère qu'il ne peut alors que s'être rendu compte de l'ampleur de l'excès en question. Au guidon d'un deux roues, nonobstant son casque, il percevait clairement le bruit du moteur - ce qu'il a admis puisqu'il s'agissait selon lui d'un critère d'évaluation de sa vitesse - et les effets de la résistance sur son corps, non protégé par la carrosserie d'une voiture, en particulier au niveau de sa tête, en roulant à 145 km/h. Il se dit par ailleurs un motocycliste aguerri, conduisant des deux-roues depuis ses 18 ans, notamment sur autoroute en France où la vitesse autorisée est de 130 km/h. Force est de constater, dans ces circonstances, que l'appelant avait pleinement connaissance de sa vitesse. Quand bien même les conditions de circulation lui ont permis de rouler vite un court instant, force est toutefois de constater qu'il n'existe, in casu , aucun élément de fait particulier permettant d'écarter le danger abstrait qualifié au sens de l'art. 90 al. 3 LCR, induit par sa vitesse très largement excessive à la limite maximale autorisée de 60 km/h. Le comportement de l'appelant, qui plus est en deux-roues dont la stabilité est notoirement moindre qu'une voiture, ne lui permettait en effet pas, selon le cours ordinaire des choses et l'expérience de la vie, d'éviter qu'un accident de la circulation ne se produise pour le cas où une ou plusieurs personnes qu'il n'aurait pas vues se seraient trouvées à proximité, ou tout autre obstacle imprévu, tel un animal qui serait survenu d'un côté ou de l'autre de la route. Par ailleurs, il ne résulte aucunement du dossier que la limitation de vitesse à 6 km/h, aux abords d'une douane notamment, n'aurait pas eu pour but la sécurité des usagers de la chaussée, dont les cyclistes, ou qu'elle n'aurait été que temporaire. Partant, la condition objective de la création d'un grand risque d'accident impliquant des blessures graves ou la mort est réalisée, compte tenu du très grand excès de vitesse. 2.3.2. En circulant à 145 km/h (marge de sécurité déduite) sur un tronçon limité à 6 km/h, l'appelant devait tenir pour possible le risque d'accident pouvant entraîner de graves blessures ou la mort. Il n'a pas prétendu ne pas connaître l'endroit, qu'il ait le jour en question circulé en provenance de Bon-en-Chablais ou de Douvaine pour se rendre sur son lieu de travail à la place des Nations à Genève. Il a agi à tout le moins par dol éventuel, en tenant pour possible le résultat et en s'en accommodant au cas où il se produirait. En effet, l'appelant ne pouvait pas non plus méconnaître la grande puissance de sa moto, de 900 cm3. Au regard de ces éléments, il ne pouvait ignorer que sa moto était en mesure d'atteindre très rapidement la vitesse mesurée qui prouve en outre qu'il a très fortement accéléré, ce qu'il n'a pu que constater de visu . Enfin, le fait qu'il aurait été en retard pour un important rendez-vous de travail et être inattentif car absorbé dans ses pensées ne lui est d'aucun secours, bien au contraire, tant l'usager de la route, qui plus est sur un motocycle de grosse cylindrée, doit toute son attention au trafic et à son propre comportement pour ne pas mettre en danger autrui, outre que cette circonstance peut expliquer l'importance de son dépassement de vitesse. Partant, la qualification juridique retenue par le premier juge et la culpabilité de l'appelant du chef d'infraction à l'art. 90 al. 3 et 4 LCR seront confirmées.</w:t>
      </w:r>
    </w:p>
    <w:p>
      <w:r>
        <w:rPr>
          <w:b/>
        </w:rPr>
        <w:t>E. 4</w:t>
      </w:r>
    </w:p>
    <w:p>
      <w:r>
        <w:t>4.1. L'art. 90 al. 3 et 4 LCR érige au rang de crime la violation grave qualifiée intentionnelle d'une règle de la circulation routière en la punissant d'une peine privative de liberté de un à quatre ans. 4.2.1. Le juge fixe la peine d'après la culpabilité de l'auteur (art. 47 al. 1, 1ère phrase, CP) ; la culpabilité étant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Du point de vue subjectif, outre les motivations et les buts de l'auteur, l'intensité de sa volonté délictuelle doit être prise en compte (ATF 141 IV 61 , consid. 6.1.1). Or la détermination de l'intensité de la volonté délictuelle dépend du caractère intentionnel de l'acte. Aussi, la fixation de la peine dans le cadre légal fixé par l'art. 90 al. 3 et 4 LCR implique nécessairement l'examen des éléments subjectifs de l'infraction, la culpabilité étant une composante de la peine (ATF 142 IV 137 consid. 9.1 p. 147 ; arrêt du Tribunal fédéral 6B_98/2017 du 1er septembre 2017, consid. 3.1). 4.2.2.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4.2.3.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 Lorsqu'une peine plancher est prévue, c'est la somme de la peine complémentaire et celle de base qui doit franchir le seuil prévu par le législateur et non pas uniquement la peine complémentaire (ATF 80 IV 223 consid 1, p. 225 ; M. NIGGLI / H. WIPRÄCHTIGER, Basler Kommentar Strafrecht I : Art. 1-110 StGB , 4 e éd., Bâle 2019, n. 170 b, ad art. 49 ; S. TRECHSEL / M. PIETH [éds], Schweizerisches Strafgesetzbuch : Praxiskommentar , 3 ème éd., Zurich 2018, n. 21, ad art. 49). 4.2.4.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Il en va de même s'il a été condamné à une peine pécuniaire de plus de 180 jours en vertu de l'ancien droit (disposition transitoire de la modification du code pénal du 19 juin 2015).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1er juin 2017 consid. 4.2 ; 6B_510/2010 du 4 octobre 2010 consid. 1.2.2).</w:t>
      </w:r>
    </w:p>
    <w:p>
      <w:r>
        <w:rPr>
          <w:b/>
        </w:rPr>
        <w:t>E. 4.3</w:t>
      </w:r>
    </w:p>
    <w:p>
      <w:r>
        <w:t>En l'occurrence, la faute de l'appelant est très importante dans la mesure où il a violé les règles fondamentales de la circulation routière en dépassant la vitesse autorisée de 79 km/h, sans se soucier du danger que représentait un tel comportement pour les autres usagers de la route, alors que la vitesse était limitée à 60 km/h. Il n'a aucune justification pour avoir agi ainsi. Sa collaboration à la procédure a été moyenne et sa prise de conscience est imparfaite, ainsi qu'en témoignent, outre son attitude durant la procédure préliminaire consistant à remettre en cause l'expertise technique, le fait de soutenir encore en appel ne pas s'être rendu compte de l'ampleur de son excès de vitesse. Comme retenu à juste titre par le premier juge, nonobstant des regrets exprimés en cours de procédure, il n'a entrepris aucune démarche démontrant qu'il aurait pris conscience de la gravité de son comportement, telles que la vente de son véhicule, le suivi de cours de perfectionnement à la conduite ou ne serait-ce que la réparation du compteur défectueux, étant relevé qu'au contraire il roulait avec la même moto huit mois encore après les faits. Le prévenu n'a manifestement fait aucun cas de ses condamnations spécifiques en Suisse, le 22 février 2016 et le 7 juin 2017, étant précisé que la peine pécuniaire de 330 jours amende infligée à cette seconde date sanctionnait pas moins de cinq violations graves de la LCR - des excès de vitesse - sur deux semaines. L'octroi de deux sursis n'a pas eu l'effet dissuasif escompté. S'y ajoutent des condamnations en France pour infraction au code de la route, la plus récente, selon le prévenu, pour " alcool au volant ". Autant dire que dans ces circonstances, le prévenu, qui s'est vu condamner une nouvelle fois le 30 octobre 2019 pour une conduite sous retrait de permis n'est plus éligible au sursis. L'ensemble de ces éléments ne saurait en effet constituer des circonstances particulièrement favorables telles que prévues à l'article 42 al. 2 CP. Aucun élément ne permet de s'éloigner, en faveur du prévenu, de la peine plancher prévue par l'art. 90 al. 3 et 4 LCR. La peine privative de liberté d'un an prononcée par le premier juge serait donc confirmée ne fût-ce la condamnation du 30 octobre 2019 figurant désormais à son casier judiciaire suisse à une peine de même genre de 60 jours pour violation de l'art. 95 al. 1 LCR (la peine de base). En l'occurrence, c'est l'art. 90 al. 3 et 4 LCR qui constitue l'infraction la plus grave, de sorte que la peine à prononcer pour la violation de cet article doit être augmentée, dans une juste proportion de la peine de base. La CPAR considère que si elle avait eu à connaître en même temps de ces deux infractions, elle aurait prononcé une peine d'ensemble hypothétique de 13 mois (un an pour sanctionner la violation de l'art. 90 al. 3 et 4 LCR, la peine plancher, et, par le jeu de concours selon l'art. 49 al. 1 CP, 1 mois pour sanctionner la violation de l'art. 95 al. 1 LCR). La peine complémentaire, constituée de la différence entre cette peine d'ensemble (13 mois) et la peine de base (2 mois), sera dès lors de 11 mois, étant précisé que le deuxième tribunal ne peut pas corriger la peine de base de 2 mois entrée en force (voir pour un tel calcul M. NIGGLI / H. WIPRÄCHTIGER, op. cit ., n. 169, ad art. 49 CP). C'est donc en définitive une peine privative de liberté complémentaire de 11 mois qui sera prononcée, étant relevé qu'elle ne viole pas la peine-menace plancher d'un an de l'art. 90 al. 3 et 4 LCR, dans la mesure où la somme de cette peine complémentaire avec celle de base est de 13 mois.</w:t>
      </w:r>
    </w:p>
    <w:p>
      <w:r>
        <w:rPr>
          <w:b/>
        </w:rPr>
        <w:t>E. 4.4</w:t>
      </w:r>
    </w:p>
    <w:p>
      <w:r>
        <w:t>En application du principe de l'interdiction de la reformatio in pejus (art. 391 al. 2 CPP), la renonciation à révoquer les deux sursis précédents est acquise à l'appelant. L'avertissement et la prolongation d'une année et demie de chacun des délais d'épreuve, de nature à le dissuader de la commission de nouvelles infractions, seront confirmés, l'appelant ayant démontré qu'il n'a tiré aucune leçon de ses deux précédentes condamnations en Suisse pour faits spécifiques, pas plus que de ses condamnations en France.</w:t>
      </w:r>
    </w:p>
    <w:p>
      <w:r>
        <w:rPr>
          <w:b/>
        </w:rPr>
        <w:t>E. 5</w:t>
      </w:r>
    </w:p>
    <w:p>
      <w:r>
        <w:t>5.1. L'appelant qui n'obtient que partiellement gain de cause, sur un point qu'il n'a pas plaidé, sera condamné aux frais de la procédure d'appel comprenant un émolument de CHF 1'800.- (art. 428 al. 1 CP).</w:t>
      </w:r>
    </w:p>
    <w:p>
      <w:r>
        <w:rPr>
          <w:b/>
        </w:rPr>
        <w:t>E. 5.2</w:t>
      </w:r>
    </w:p>
    <w:p>
      <w:r>
        <w:t>Dans la mesure où la peine est modifiée en raison d'une condamnation intervenue ultérieurement au jugement de première instance, il ne se justifie pas de modifier la répartition des frais fixée par le TP (art. 428 al. 3 et 426 CPP).</w:t>
      </w:r>
    </w:p>
    <w:p>
      <w:r>
        <w:rPr>
          <w:b/>
        </w:rPr>
        <w:t>E. 6</w:t>
      </w:r>
    </w:p>
    <w:p>
      <w:r>
        <w:t>6.1.1.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de CHF 200.- pour le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6.1.3. En principe, la consultation du dossier est indemnisée, sous réserve du caractère excessivement long ou répétitif de cette activité, en particulier si le dossier n'a pas ou peu évolué pendant la procédure d'appel ( AARP/181/2016 du 9 mai 2016 consid. 6.3 et 6.4 ; AARP/149/2016 du 20 avril 2016 consid. 5.4). 6.1.4.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6.1.5. Le temps d'attente entre l'heure de la convocation et le début de l'audience est indemnisé par l'assistance juridique. 6.1.6.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6.2</w:t>
      </w:r>
    </w:p>
    <w:p>
      <w:r>
        <w:t>En l'occurrence, l'état de frais présenté par M e B______ pour la phase d'appel est très largement excessif. Dans ce dossier, dénué de toute complexité, déjà plaidé devant le TP par ce même conseil, qui n'a connu aucun rebondissement depuis son arrivée devant la CPAR, si ce n'est une nouvelle condamnation du prévenu posant la question de la peine complémentaire, au demeurant non plaidée, rien ne justifie 11 entretiens, de 1h à 1h30 chacun, à l'étude entre le 14 juin et le 18 février 2020. Il ne sera dès lors retenu qu'un entretien de 45 minutes en vue de la préparation de l'audience d'appel. La lecture du procès-verbal et du jugement de première instance, respectivement la rédaction de l'annonce et de la déclaration d'appel, entrent dans le forfait pour activités diverses. Les recherches juridiques ne sont pas indemnisées, étant relevé que le cas d'espèce ne revêt aucune complexité spécifique en droit pour un avocat aguerri qui n'a au demeurant plaidé aucune question juridique autre que l'application " à l'envers " de la lex mitior . Si la consultation du dossier est en principe indemnisée, en l'espèce, elle se recoupe avec la préparation de l'audience puisque la procédure, respectivement les arguments invoqués, sont les mêmes que ceux développés en première instance. La CPAR indemnisera ces deux activités confondues à hauteur de 1h. S'y ajouteront 1h15 pour l'audience, temps d'attente compris, et le forfait de vacation de CHF 100.-. En conclusion, l'indemnité sera arrêtée à CHF 710.80 correspondant à 3h d'activité au tarif de CHF 200.-/heure (CHF 600.-), plus la majoration forfaitaire de 10% (CHF 60.- ; vu l'activité indemnisée en première instance) et l'équivalent de la TVA au taux de 7.7% en CHF 50.80.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