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P/20143/2021 vom 28. Juli 2025</w:t>
      </w:r>
    </w:p>
    <w:p>
      <w:r>
        <w:t>GE Cour de justice, 2025-07-28, FR</w:t>
      </w:r>
    </w:p>
    <w:p>
      <w:r>
        <w:rPr>
          <w:b/>
        </w:rPr>
        <w:t xml:space="preserve">Quelle: </w:t>
      </w:r>
      <w:r>
        <w:t>https://mcp.opencaselaw.ch/entscheid/ge_gerichte_P_20143_2021</w:t>
      </w:r>
    </w:p>
    <w:p>
      <w:r>
        <w:t>FR: GE_GERICHTE P/20143/2021 du 28 juillet 2025</w:t>
      </w:r>
    </w:p>
    <w:p>
      <w:r>
        <w:t>IT: GE_GERICHTE P/20143/2021 del 28 luglio 2025</w:t>
      </w:r>
    </w:p>
    <w:p>
      <w:pPr>
        <w:pStyle w:val="Heading2"/>
      </w:pPr>
      <w:r>
        <w:t>Regeste</w:t>
      </w:r>
    </w:p>
    <w:p>
      <w:r>
        <w:t>DISPOSITIONS PÉNALES DE LA LCR;EXCÈS DE VITESSE;DÉLIT DE CHAUFFARD;FIXATION DE LA PEINE | LCR.90.al2; LCR.90.al3; LCR.90.al4.letb</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L'art. 90 al. 3 LCR réprime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2.1.2. Cette disposition est toujours applicable lors que la vitesse maximale autorisée a été dépassée d'au moins 50 km/h là où la limite était fixée à 50 km/h (art. 90 al. 4 let. b LCR). 2.1.3. Lorsque l'excès de vitesse atteint l'un des seuils fixés par l'art. 90 al. 4 LCR, la première condition objective de l'art. 90 al. 3 LCR, à savoir la violation d'une règle fondamentale de la circulation routière, est toujours remplie. Un tel excès de vitesse qualifié suffit déjà en principe à réaliser également la seconde condition objective, à savoir la création d'un danger abstrait qualifié, dès lors que l'atteinte de l'un des seuils visés à l'art. 90 al. 4 LCR implique généralement l'impossibilité d'éviter un grand risque d'accident en cas d'obstacle ou de perte de maîtrise du véhicule. Cette disposition crée cependant une présomption réfragable de la réalisation de la condition objective du danger qualifié au sens de l'art. 90 al. 3 LCR (ATF 143 IV 508 consid. 1.6). Le juge peut en effet arriver à la conclusion que même si l’auteur a franchi les seuils de l’alinéa 4, il n’a pas créé un grand risque d’accident au sens de l’alinéa 3 (arrêt du Tribunal fédéral 6B_592/2018 du 13 août 2018 consid. 2.2), en tenant compte des circonstances exceptionnelles du cas d’espèce, telles que : une limitation de vitesse liée à un chantier qui a été simplement oubliée sur la route (Y. JEANNERET, Via sicura : le nouvel arsenal pénal, Circulation routière 2/2013, p. 36) ; un dysfonctionnement des panneaux variables de limitation de vitesse sur l’autoroute (arrêt du Tribunal fédéral 6A.11/2000 du 7 septembre 2000 consid. 3b), ou encore une limitation de vitesse due non à des conditions dangereuses de la route, mais en lien seulement pour des motifs écologiques (arrêt du Tribunal fédéral 6B_148/2012 du 30 avril 2012 consid. 3.1). 2.1.4. Sur le plan subjectif, l'intention doit porter sur la violation des règles fondamentales de la circulation routière ainsi que sur le risque d'accident pouvant entraîner de graves blessures ou la mort. Celui qui commet un excès de vitesse appréhendé par l'art. 90 al. 4 LCR réalise en principe les conditions subjectives de l'infraction. Celles-ci ne peuvent être exclues que dans des constellations particulières, comme une défaillance technique du véhicule (dysfonctionnement des freins ou du régulateur de vitesse), une pression extérieure (menaces, prise d'otage), des problèmes médicaux soudains (par exemple une crise d'épilepsie) ou encore le caractère improbable de la limitation de vitesse (ATF 142 IV 137 consid. 3.3, 10.1 et 11.2). 2.2.1. Il est établi et non contesté que l'intimé est bien l'auteur de l'excès de vitesse commis le 6 septembre 2021 au guidon du motocycle immatriculé GE 2______ sur l'avenue Vibert, alors qu'il circulait en direction de la rue Jean-Jacques Grosselin. La question de savoir si l'intimé a atteint une vitesse maximale de 112.5 km/h comme l'a retenu le GAVA dans son rapport rectificatif ou de 125 km/h comme cela découle de l'expertise du DTC importe en réalité peu, puisqu'il s'agit a priori, dans les deux cas, d'une violation fondamentale des règles sur la circulation routière. Cela étant, l'expertise rendue par le DTC se fonde sur plusieurs éléments probants – scan tridimensionnel et images de vidéosurveillance –. Les calculs réalisés de la sorte par des experts rompus à un tel exercice apparaissent plus précis que ceux réalisés par le GAVA sur la base de la vidéo des faits et de mesures effectuées sur les lieux à l'aide d'un odomètre. L'expert entendu dans le cadre de la présente procédure a expliqué de manière convaincante le procédé utilisé et certifié de la fiabilité des chiffres obtenus après avoir par ailleurs tenu compte de " tolérances ". La Cour considère par conséquent, à l'instar du premier juge, qu'il n'y a pas lieu de s'écarter de cette expertise et qu'il convient, dans cette mesure, de retenir que l'intimé a circulé à une vitesse maximale de 125 km/h, dépassant de la sorte la limitation, après déduction de la marge de sécurité, de 75 km/h. La première condition objective de l'art. 90 al. 3 LCR, à savoir la violation d'une règle fondamentale de la circulation routière, est, partant remplie. 2.3.1. Au moment de la commission de l'excès de vitesse, les conditions routières et météorologiques étaient certes bonnes : il faisait jour, le tronçon était rectiligne, la chaussée sèche et l'intensité de trafic faible. Toutefois, retenir ces uniques éléments pour renverser la présomption de la réalisation de l’élément objectif du danger qualifié reviendrait à omettre de tenir compte de la disposition du tronçon emprunté par l'intimé, qui, en sus de n'être séparé de la voie en sens inverse que par une petite berme centrale en béton, était également bordée d'une voie réservée aux bus, taxis et vélos. Bien que l'intimé n'accélérait plus à ce moment-là, il convient d'observer qu'un passage piétons se trouvait à la fin du tronçon considéré par le DTC dans son expertise (point F), ce qui confirme la présence possible de passants aux abords des voies. En roulant à cet endroit à une vitesse aussi importante, l'intimé a dès lors pris le risque de ne pas pouvoir réagir suffisamment tôt à la survenance d'un danger ou d'obstacle sur la chaussée, dont la présence est toujours possible, qu'il soit d'origine humaine ou naturelle. Il ne ressort par ailleurs pas du dossier que la limitation de vitesse sur le tronçon en question avait eu une autre vocation que celle d'assurer la sécurité routière. 2.3.2. Compte tenu de ce qui précède, la présomption de la réalisation de l’élément objectif du danger qualifié de l’infraction réprimée par l’art. 90 al. 3 LCR n'est pas renversée. L'intimé sera par conséquent reconnu coupable de violation des règles fondamentales de la circulation routière, l'appel étant admis sur ce point, et le jugement entrepris réformé dans ce sens.</w:t>
      </w:r>
    </w:p>
    <w:p>
      <w:r>
        <w:rPr>
          <w:b/>
        </w:rPr>
        <w:t>E. 3</w:t>
      </w:r>
    </w:p>
    <w:p>
      <w:r>
        <w:t>3.1.1. La violation grave de la LCR (art. 90 al. 2 LCR) est sanctionnée par une peine privative de liberté de trois ans au plus ou une peine pécuniaire, tandis que celle des règles fondamentales de la circulation routière, au sens de l'art. 90 al. 3 et 4 LCR, l'est d'une peine privative de liberté d'un à quatre ans.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3.2.2.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3.2.3. Aux termes de l'art. 42 al. 1 CP, le juge suspend en règle générale l’exécution d'une peine pécuniaire ou d'une peine privative de liberté de deux ans au plus lorsqu'une peine ferme ne paraît pas nécessaire pour détourner l'auteur d'autres crimes ou délits. Si le juge suspend totalement ou partiellement l'exécution d'une peine, il impartit au condamné un délai d'épreuve de deux à cinq ans (art. 44 al. 1 CP). 3.2.4. Selon l'art. 42 al. 4 CP, le juge peut prononcer, en plus du sursis, une amende selon l'art. 106 CP. Celle-ci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 134 IV 60 consid. 7.3.1).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 arrêt du Tribunal fédéral 6B_835/2018 du 8 novembre 2018 consid. 3.2). La peine prononcée avec sursis reste prépondérante, alors que l'amende est d'importance secondaire (ATF 134 IV 1 consid. 4.5.2).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 arrêt du Tribunal fédéral 6B_952/2016 du 29 août 2017 consid. 3.1).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3.2.5.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3.3.1. La faute de l'intimé est sérieuse. Il a violé les règles de la circulation routière en commettant des excès de vitesse, important pour le premier, très important pour le second, à deux reprises sur une courte période pénale d'un mois et alors qu'il était au bénéfice d'un permis d'élève conducteur. Il a de la sorte et de manière parfaitement égoïste accepté de créer un danger pour les autres usagers de la route. Il a entièrement admis l'excès de vitesse du 6 août 2021, les images du radar lui ayant toutefois difficilement permis de faire le contraire. Il a en revanche contesté jusqu'en première instance les conclusions des rapports et de l'expertise s'agissant des faits du 6 septembre 2021 pour lesquels sa vitesse n'avait pas été mesurée. Vu l'absence d'appel de sa part, il semble avoir fini par reconnaître avoir circulé à plus de 100 km/h. Sa collaboration ne peut dès lors être considérée comme bonne. Tout au plus peut-elle être qualifiée de modérée. Dès l'ouverture de la procédure, l'intimé a affiché une forme de prise de conscience en manifestant des regrets pour le danger qu'il a fait courir aux tiers usagers de la route. En appel, il indique à nouveau avoir saisi la gravité de ses actes, tout en expliquant avoir abandonné la conduite de motocycles et se contenter de circuler au volant de la voiture de fonction mise à disposition par son employeur pour les besoins de son travail. Compte tenu de ces éléments, sa prise de conscience, qui a évolué positivement au fil de ses auditions, apparaît bonne. Sa situation personnelle n'explique, ni ne justifie ses actes. Son jeune âge au moment des faits sera néanmoins pris en compte dans une juste mesure. L'absence d'antécédents a en principe un effet neutre sur la fixation de la peine. Or, l'intimé a certes commis les deux excès de vitesse en cause sur une courte période pénale de deux mois alors qu'il venait d'obtenir son permis d'élève conducteur. Au-delà de dénoter d'une certaine forme de mépris des règles, ces infractions sont surtout symptomatiques de l'immaturité de leur auteur, alors âgé de 18-19 ans. Cela ressort de ses explications, selon lesquelles il roulait avec des amis motocyclistes et s'était laissé entrainer par l'effet de groupe, sans se soucier de sa vitesse. Son interpellation par la police le 6 septembre 2021 semble avoir suffisamment marqué le jeune homme pour lui faire prendre conscience de la gravité de ses comportements, ce qu'il a soutenu durant toute la procédure. Il a par ailleurs expliqué avoir abandonné la conduite de motocycles et n'a plus fait l'objet de condamnation ou de poursuites pour des infractions à la LCR. Il a renoncé à faire appel du premier jugement, assumant de la sorte la responsabilité de ses actes et leurs conséquences. Au vu de ce qui précède et du fait que le prononcé d'une peine privative de liberté n'a pas été contesté dans son principe, c'est une peine de cette nature qui sera prononcée (art. 41 CP). Le sursis est acquis à l'appelant (art. 391 al. 2 CPP). 3.3.2. La violation fondamentale des règles de la circulation routière (art. 90 al. 3 et 4 let. b LCR), infraction abstraitement la plus grave, emporte à elle seule une peine privative de liberté de douze mois, à laquelle doivent s'ajouter deux mois pour la violation grave des règles de la circulation routière (art. 90 al. 2 LCR ; peine hypothétique de trois mois). C'est ainsi une peine privative de liberté de quatorze mois qui sera prononcée à l'encontre de l'intimé, le sursis lui étant acquis.</w:t>
      </w:r>
    </w:p>
    <w:p>
      <w:r>
        <w:rPr>
          <w:b/>
        </w:rPr>
        <w:t>E. 3.4</w:t>
      </w:r>
    </w:p>
    <w:p>
      <w:r>
        <w:t>L'amende de CHF 1'500.-, prononcée à titre de sanction immédiate par le premier juge, sera confirmée pour souligner la gravité des comportements de l'intimé et dans un but de prévention spéciale. Elle sera assortie d'une peine privative de liberté de substitution de 15 jours (art. 106 al. 2 CP).</w:t>
      </w:r>
    </w:p>
    <w:p>
      <w:r>
        <w:rPr>
          <w:b/>
        </w:rPr>
        <w:t>E. 4.1</w:t>
      </w:r>
    </w:p>
    <w:p>
      <w:r>
        <w:t>Dans la mesure où l'intimé succombe, les frais de la procédure d'appel, qui comprennent un émolument d'arrêt de CHF 1'000.-, seront mis à sa charge (art. 428 al. 1 CPP).</w:t>
      </w:r>
    </w:p>
    <w:p>
      <w:r>
        <w:rPr>
          <w:b/>
        </w:rPr>
        <w:t>E. 4.2</w:t>
      </w:r>
    </w:p>
    <w:p>
      <w:r>
        <w:t>Il n'y a pas lieu de revenir sur la mise à charge de l'intimé des frais de la procédure et de première instance (art. 426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