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P/20130/2017 vom 2. Oktober 2018</w:t>
      </w:r>
    </w:p>
    <w:p>
      <w:r>
        <w:t>GE Cour de justice, 2018-10-02, FR</w:t>
      </w:r>
    </w:p>
    <w:p>
      <w:r>
        <w:rPr>
          <w:b/>
        </w:rPr>
        <w:t xml:space="preserve">Quelle: </w:t>
      </w:r>
      <w:r>
        <w:t>https://mcp.opencaselaw.ch/entscheid/ge_gerichte_P_20130_2017</w:t>
      </w:r>
    </w:p>
    <w:p>
      <w:r>
        <w:t>FR: GE_GERICHTE P/20130/2017 du 2 octobre 2018</w:t>
      </w:r>
    </w:p>
    <w:p>
      <w:r>
        <w:t>IT: GE_GERICHTE P/20130/2017 del 2 ottobre 2018</w:t>
      </w:r>
    </w:p>
    <w:p>
      <w:pPr>
        <w:pStyle w:val="Heading2"/>
      </w:pPr>
      <w:r>
        <w:t>Regeste</w:t>
      </w:r>
    </w:p>
    <w:p>
      <w:r>
        <w:t>FIXATION DE LA PEINE ; AMENDEMENT; PÉRIODE D'ESSAI; RÉVOCATION(EN GÉNÉRAL) ; LIBÉRATION CONDITIONNELLE ; PRONOSTIC ; DIRECTIVE 2008/115/CE | LEtr.115; CP.47; CP.89.al1</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en l'espèce la quotité de la peine (art. 399 al. 4 litt. b CPP). La Chambre limite son examen aux violations décrites dans l'acte d'appel (art. 404 al. 1 CPP), sauf en cas de décisions illégales ou inéquitables (art. 404 al. 2 CPP).</w:t>
      </w:r>
    </w:p>
    <w:p>
      <w:r>
        <w:rPr>
          <w:b/>
        </w:rPr>
        <w:t>E. 2</w:t>
      </w:r>
    </w:p>
    <w:p>
      <w:r>
        <w:t>L'appelant ne conteste pas, en appel, sa culpabilité pour séjour illégal, dûment établie par les éléments du dossier, laquelle sera ainsi confirmée. ![endif]&gt;![if&gt;</w:t>
      </w:r>
    </w:p>
    <w:p>
      <w:r>
        <w:rPr>
          <w:b/>
        </w:rPr>
        <w:t>E. 3.1</w:t>
      </w:r>
    </w:p>
    <w:p>
      <w:r>
        <w:t>Par arrêté fédéral du 18 juin 2010 (RO 2010 5925), la Suisse a repris la Directive sur le retour. Celle-ci ne s'oppose pas à ce que le droit pénal suisse réprime le séjour illégal lorsqu'une procédure de retour est mise en œuvre. En ce sens, elle ne s'oppose pas à ce que le séjour illégal soit érigé en infraction. Sur le plan de la sanction, une application de l'art. 115 al. 1 litt.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1.9).![endif]&gt;![if&gt; 3.2.1 Selon l'art. 47 du code pénal suisse du 21 décembre 1937 (CP ; RS 311.0),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L'art. 47 CP confère un large pouvoir d'appréciation au juge (arrêts du Tribunal fédéral 6B_798/2017 du 14 mars 2018 consid. 2.1 et 6B_718/2017 du 17 janvier 2018 coonsid. 3.1).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Les antécédents judiciaires ne sauraient toutefois conduire à une augmentation massive de la peine, parce que cela reviendrait à condamner une deuxième fois pour des actes déjà jugés (ATF 120 IV 136 consid. 3b p. 145).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 3.2.2 Le 1 er janvier 2018, sont entrées en vigueur des nouvelles dispositions sur le droit des sanctions. En particulier, la peine pécuniaire est désormais de 3 jours au moins et de 180 jours au plus (art. 34 al. 1 CP), le jour-amende étant de CHF 30.- au moins.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(al. 2). Pour comparer la sévérité de l'ancien et du nouveau droit, il y a lieu de procéder à un examen concret, en tenant compte de l'état de fait complet. Il faut confronter le résultat que donnerait dans le cas particulier l'application du nouveau droit à toutes les questions qui se posent, avec le résultat que donnerait dans le cas particulier l'application de l'ancien droit dans des conditions identiques. Si le premier de ces deux résultats est plus favorable au condamné, le nouveau droit est seul applicable ; en cas contraire, l'ancien droit reste seul applicable (ATF 114 IV 1 consid. 2a p. 4). A l'aune de l'art. 2 CP ( lex mitior ), cette réforme n'apparait pas in casu plus favorable pour la personne condamnée, laquelle pourra ainsi revendiquer l'application du droit en vigueur au 31 décembre 2017 si les actes qu'elle a commis l'ont été sous l'empire de ce droit (M. DUPUIS / L. MOREILLON / C. PIGUET / S. BERGER / M. MAZOU / V. RODIGARI, Code pénal, Petit Commentaire , Bâle 2017, n. 6 des rem. prél. ad art. 34 à 41).</w:t>
      </w:r>
    </w:p>
    <w:p>
      <w:r>
        <w:rPr>
          <w:b/>
        </w:rPr>
        <w:t>E. 3.3</w:t>
      </w:r>
    </w:p>
    <w:p>
      <w:r>
        <w:t>Le dossier ne mentionne pas explicitement les démarches entreprises pour procéder au refoulement de l'appelant dans son pays d'origine à compter du 18 mars 2009. Il est ainsi probable que la Suisse n'a pas mis en œuvre tous les moyens disponibles en ce sens. Il reste que la volonté manifestée par l'appelant de quitter le territoire suisse est quasi nulle. Il ne suffit pas de dire son intention de rejoindre la France, démarche déjà envisagée en mars 2017. Encore faut-il passer de la parole aux actes, ce que l'appelant ne semble pas avoir entrepris puisqu'il en est toujours à ce jour au stade des démarches exploratoires, sans pour autant fournir quelque document écrit les étayant. C'est sans compter que l'appelant a parallèlement dit son intention de travailler en Suisse. Cela étant, la possibilité de lui infliger une sanction d'une autre nature que la peine pécuniaire peut souffrir de rester indécise, le Ministère public n'ayant pas appelé du jugement entrepris. Au demeurant, la peine de 30 jours-amende, à CHF 10.- l'unité, est proportionnée aux circonstances du cas d'espèce et l'appelant ne la conteste pas. La CPAR se rallie au surplus aux arguments développés par le premier juge en guise de motivation de la peine, lesquels gardent toute leur pertinence.</w:t>
      </w:r>
    </w:p>
    <w:p>
      <w:r>
        <w:rPr>
          <w:b/>
        </w:rPr>
        <w:t>E. 4.1</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Le Tribunal fédéral a rejeté le grief d'un recourant qui estimait que la nouvelle infraction qu'il avait commise dans le délai d'épreuve de sa libération conditionnelle, à savoir un séjour illégal, n'était pas d'une gravité suffisante pour justifier sa réintégration, dans la mesure où il s'agissait d'un délit (art. 10 al. 3 CP), passible d'une peine privative de liberté d'un an au plus ou d'une peine pécuniaire (arrêt du Tribunal fédéral 6B_715/2015 du 21 mars 2016 consid. 2.5 ; cf. AARP/261/2015 du 5 juin 2015). La révocation de la libération conditionnelle doit être compatible avec les principes liés au maximum légal de la peine prévue à l'art. 115 al. 1 LEtr. Si la durée de la détention subie atteint ou dépasse un an, il devra être renoncé à la révocation (ATF 135 IV 6 consid. 4.2 p. 11 ; arrêt du Tribunal fédéral 6B_715/2015 du 21 mars 2016 consid. 2.6.2 ; AARP/200/2016 du 10 mai 2016 consid. 2.2).</w:t>
      </w:r>
    </w:p>
    <w:p>
      <w:r>
        <w:rPr>
          <w:b/>
        </w:rPr>
        <w:t>E. 4.2</w:t>
      </w:r>
    </w:p>
    <w:p>
      <w:r>
        <w:t>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1998 1929).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w:t>
      </w:r>
    </w:p>
    <w:p>
      <w:r>
        <w:rPr>
          <w:b/>
        </w:rPr>
        <w:t>E. 4.3</w:t>
      </w:r>
    </w:p>
    <w:p>
      <w:r>
        <w:t>La réitération des infractions à la LEtr depuis 2012 et la volonté affichée par l'appelant de continuer à séjourner en Suisse, voire même d'y travailler sans autorisation, malgré une décision de renvoi en force, démontrent une intention de ne pas modifier d'un iota le comportement adopté jusqu'à ce jour. Ce n'est pas l'intention affichée de rejoindre la France qui est de nature à contredire la conclusion qui précède tant cette volonté apparait abstraite et au demeurant nullement étayée. Il s'ensuit que le pronostic pour le futur se présente sous un jour très défavorable, ce qui justifie le principe d'une réintégration de l'appelant, le solde de peine n'outrepassant par ailleurs pas le maximum prévu par l'art. 115 al. 1 LEtr. Les objections formulées par l'appelant ne sauraient être tenues pour pertinentes. C'est une chose de tenir compte de la Directive sur le retour pour fixer le genre de sanction relative au comportement illicite de l'appelant, c'en est une autre de l'appliquer pour conclure à sa réintégration fondée sur l'art. 89 al. 1 CP. En l'occurrence, la décision de libération conditionnelle recouvrait des infractions échappant au critère défini par la Directive sur le retour, des infractions à la LStup ayant été sanctionnées en sus du séjour illégal. La Directive sur le retour est ainsi hors champ d'application de l'art. 89 al. 1 CP pour le cas présent. Son seul effet est qu'une peine d'ensemble ne peut être ordonnée, les peines étant d'un genre différent (art. 89 al. 6 cum art. 46 al. 1 dernière phrase CP a contrario).</w:t>
      </w:r>
    </w:p>
    <w:p>
      <w:r>
        <w:rPr>
          <w:b/>
        </w:rPr>
        <w:t>E. 5</w:t>
      </w:r>
    </w:p>
    <w:p>
      <w:r>
        <w:t>Les frais de la procédure, qui comprennent un émolument de CHF 1'500.-, seront laissés à la charge de l'appelant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