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P/20125/2022 vom 2. September 2024</w:t>
      </w:r>
    </w:p>
    <w:p>
      <w:r>
        <w:t>GE Cour de justice, 2024-09-02, FR</w:t>
      </w:r>
    </w:p>
    <w:p>
      <w:r>
        <w:rPr>
          <w:b/>
        </w:rPr>
        <w:t xml:space="preserve">Quelle: </w:t>
      </w:r>
      <w:r>
        <w:t>https://mcp.opencaselaw.ch/entscheid/ge_gerichte_P_20125_2022</w:t>
      </w:r>
    </w:p>
    <w:p>
      <w:r>
        <w:t>FR: GE_GERICHTE P/20125/2022 du 2 septembre 2024</w:t>
      </w:r>
    </w:p>
    <w:p>
      <w:r>
        <w:t>IT: GE_GERICHTE P/20125/2022 del 2 settembre 2024</w:t>
      </w:r>
    </w:p>
    <w:p>
      <w:pPr>
        <w:pStyle w:val="Heading2"/>
      </w:pPr>
      <w:r>
        <w:t>Regeste</w:t>
      </w:r>
    </w:p>
    <w:p>
      <w:r>
        <w:t>DISPOSITIONS PÉNALES DE LA LSTUP;FIXATION DE LA PEINE;PEINE D'ENSEMBLE;RÉVOCATION DU SURSIS;EXPULSION(DROIT PÉNAL) | Lstup.19; Lstup.19a; CP.47; CP.49; LCR.90; LPG.11C; LPG.110; CP.66abis</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à l'art. 19 al. 1 let. c et d LStup, à l'instar de celle à l'art. 119 al. 1 LEI, est punie d'une peine privative de liberté de trois ans au plus ou d'une peine pécuniaire, tandis que les infractions à l'art. 19a ch. 1 LStup, 90 al. 1 LCR, 11C al. 1 LPG, 11D al. 1 LPG et 11F LPG sont sanctionnées par l'amende.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 116 IV 300 consid. 2c/dd ; 93 IV 7 ; arrêt du Tribunal fédéral 6B_1216/2017 du 11 juin 2018 consid. 1.1.1), en tenant là aussi compte de toutes les circonstances y relatives (arrêts du Tribunal fédéral 6B_1175/2017 du 11 avril 2018 consid. 2.1 in medio ; 6B_688/2014 du 22 décembre 2017 consid. 27.2.1). Les différents comportements visés par l'article 19 al. 1 LStup constituent des infractions indépendantes (ATF 142 IV 401 consid. 3.3.2 ; 133 IV 187 consid. 3.2 ; arrêt du Tribunal fédéral 6B_1248/2017 du 21 février 2019 consid. 6.4.2). 2.1.4.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2.1.5. 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constitue une sanction plus clémente qu'une peine privative de liberté (ATF 144 IV 313 consid. 1.1.1 ; 134 IV 97 consid. 4.2.2). Le choix de la sanction doit être opéré en tenant compte au premier chef de l'adéquation de la peine, de ses effets sur l'auteur et sur sa situation sociale ainsi que de son efficacité du point de vue de la prévention (ATF 147 IV 241 consid. 3.2 ; 144 IV 313 consid. 1.1.1). La faute de l'auteur n'est en revanche pas déterminante (ATF 137 II 297 consid. 2.3.4 ; 144 IV 313 consid. 1.1.1), pas plus que sa situation économique ou le fait que son insolvabilité apparaisse prévisible (ATF 134 IV 97 consid. 5.2.3). 2.1.6. Aux termes des art. 42 al. 1 et 44 al. 1 CP, le juge suspend en règle générale l'exécution d'une peine pécuniaire ou d'une peine privative de liberté de deux ans au plus lorsqu'une peine ferme ne paraît pas nécessaire pour détourner l'auteur d'autres crimes ou délits. Le juge impartit au condamné un délai d'épreuve de deux à cinq ans. Si, durant ce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 pronostic quant au comportement futur du condamné, bien qu'il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Concrètement,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2.2</w:t>
      </w:r>
    </w:p>
    <w:p>
      <w:r>
        <w:t>En l'espèce, la faute de l'appelant est tout sauf négligeable en ce qu'il persiste à se rendre à Genève pour s'adonner au trafic de stupéfiants ou pour des motifs futiles comme aller en soirée. Son comportement témoigne ainsi d'un mépris marqué pour l'ordre juridique suisse et les décisions qui le concernent, ses antécédents et ses précédentes incarcérations ne l'ayant visiblement pas dissuadé de récidiver. Par son comportement, il a porté atteinte à différents biens juridiques protégés, dont la santé des consommateurs de stupéfiants. Il a agi par appât du gain ainsi que par pure convenance personnelle, soit des mobiles éminemment égoïstes. Sa situation personnelle n'explique ni ne justifie ses agissements. Sa collaboration a été relativement bonne et sa prise de conscience est amorcée. Il y a concours d'infractions, facteur d'aggravation de la peine, et cumul de peines punissables d'un genre différent. Ses antécédents sont nombreux et, pour la plupart, spécifiques. L'appelant ne critique pas, à juste titre, le choix de la sanction, la peine privative de liberté étant la seule à entrer en considération au vu de ses nombreux antécédents et récidives. De plus, il n'a pas su saisir les différentes opportunités qui lui avaient été offertes, récidivant de surcroît durant le délai d'épreuve des sursis octroyés les 2 janvier 2021 et 13 avril 2022. À cet égard, c'est à juste titre que le premier juge a révoqué le second, s'agissant de la peine privative de liberté, son comportement désinvolte face à la sanction laissant apparaître son pronostic sous un jour résolument défavorable, de sorte que les 30 jours y relatifs pour les infractions à la LEI et à la LStup, sous déduction de deux jours de détention avant jugement, devront être pris en compte dans le calcul de la peine d'ensemble à fixer ; en outre, cette peine sera partiellement complémentaire aux condamnations prononcées les 27 mai 2023 et 5 juillet 2023. Contrairement à ce qu'allègue l'appelant, le premier juge a tenu compte du concours rétrospectif partiel en fixant, pour les infractions à la LEI et à la LStup antérieures aux condamnations précitées, des peines égales à zéro, considérant le fait que l'intéressé avait été condamné à deux peines privatives de liberté de 180 jours chacune. Ces peines complémentaires concernent les quatre infractions à l'art. 119 LEI ainsi que tous les délits commis à la LStup ; elles apparaissent ainsi excessivement clémentes au vu des circonstances. En effet, l'infraction abstraitement la plus grave étant celle de l'art. 19 al. 1 let. c et d LStup, commise à sept reprises, elle justifiait à elle seule une peine privative de liberté de base de huit mois, laquelle devait être augmentée de trois mois supplémentaires par violation de l'art. 119 al. 1 LEI (peine hypothétique : 4 mois), soit un total de 20 mois (8 + [4 x 3]). Les faits visés par les ordonnances pénales des 27 mai 2023 et 5 juillet 2023, s'ils avaient été jugés en même temps, auraient justifié le prononcé de huit mois supplémentaires (peine hypothétique : 2 x quatre mois + trois mois) , auxquels s'ajouteraient encore trois mois pour sanctionner l'infraction à la LEI commise le 23 août 2023 (peine hypothétique : quatre mois), ainsi que 15 jours pour tenir compte de la peine dont le sursis a été révoqué (30 jours), ce qui ramènerait le tout à 31,5 mois, et partant, la peine d'ensemble à 19,5 mois (31,5 – 12). La peine privative de liberté d'ensemble de 70 jours prononcée par le premier juge sera donc confirmée en vertu du principe de l'interdiction de la reformatio in pejus. Les sept jours de détention avant jugement exécutés par l'appelant seront déduits de cette peine, de même que les deux jours imputés sur celle dont le sursis a été révoqué. De par son comportement, l'appelant semble s'installer dans la délinquance de sorte que son pronostic apparaît sous un jour défavorable, alors que son ébauche de prise de conscience ne suffit pas à renverser. Partant, le sursis est exclu. Enfin, l'appelant n'a soulevé aucune critique à l'encontre de l'amende en CHF 600.- prononcée pour sanctionner ses multiples contraventions à la LStup, à la LPG ainsi qu'à la LCR. Celle-ci, prise globalement, apparaissant plutôt clémente au vu des règles sur le concours, sera confirmée, de même que les six jours de peine privative de liberté de substitution, prononcé pour le cas où l'appelant ne s'exécuterait pas (cf. art. 391 al. 2 CPP). En effet, il aurait fallu considérer que les amendes les plus graves étaient celles relatives à la détention de drogues dures pour les besoins de sa consommation personnelle, la première occurrence étant fixée à CHF 200.- et les suivantes à CHF 100.- (22 septembre 2022 ; amende hypothétique : CHF 200.-), CHF 100.- (23 août 2023 ; amende hypothétique : CHF 200.-), CHF 100.- (9 avril 2022 ; deux occurrences ; amende hypothétique : CHF 200.-), CHF 150.- (23 novembre 2022 ; trois occurrences ; amende hypothétique : CHF 300.-) et CHF 150.- (30 juillet 2023 ; trois occurrences ; amende hypothétique : CHF 300.-), ce qui aurait représenté un total de CHF 800.-. Au vu de ce qui précède, l'appel sera rejeté et le jugement confirmé sur ce point.</w:t>
      </w:r>
    </w:p>
    <w:p>
      <w:r>
        <w:rPr>
          <w:b/>
        </w:rPr>
        <w:t>E. 3</w:t>
      </w:r>
    </w:p>
    <w:p>
      <w:r>
        <w:t>3.1.1. Conformément à l'art. 66abis CP, le juge peut expulser un étranger du territoire suisse pour une durée de trois à 15 ans si, pour un crime ou un délit non visé à l'art. 66a, celui-ci a été condamné à une peine ou a fait l'objet d'une mesure au sens des art. 59 à 61 ou 64 CP. Les travaux parlementaires indiquent de manière claire que la disposition vise les " touristes criminels " ou les récidivistes. Ainsi, celui qui est condamné pour des délits de gravité moyenne peut être expulsé lorsqu'il est multirécidiviste et présente, au vu de l'ensemble de ses condamnations, un danger pour la sécurité publique (L. MOREILLON / A. MACALUSO / N. QUELOZ / N. DONGOIS (éds), Commentaire romand, Code pénal I, art. 1-110 CP, 2 ème éd., Bâle 2021, N 5 ad art. 66abis).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3.1.2. Concernant le premier volet, le juge doit se demander, si l'expulsion facultative est de nature à empêcher la commission de nouvelles infractions en Suisse (G. FIOLKA / L. VETTERLI, Die Landesverweisung in Art. 66a ff StGB als strafrechtliche Sanktion, cahier spécial, Plaidoyer 5/2016,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(ATF 139 I 16 consid. 4.2. et 5 ss ; G. MÜNCH / F. DE WECK, Die neue Landesverweisung, in Art. 66a ff. StGB, Revue de l'avocat 2016, p. 166 ; M. BUSSLINGER / P. UEBERSAX, Härtefallklausel und migrationsrechtliche Auswirkungen der Landesverweisung, cahier spécial, Plaidoyer 5/2016, p. 97 et 103 ; K. KÜMIN, Darf eine Aufenthaltsbewilligung widerrufen werden, nachdem von einer Landesverweisung abgesehen wurde ? in Jusletter du 28 novembre 2016, p. 14 ; AARP/185/2017 du 2 juin 2017 consid. 2.2). Les antécédents judiciaires antérieurs au 1 er octobre 2016 doivent aussi entrer en considération, y compris ceux relevant du droit pénal des mineurs. Sous l'ancien 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du 18 mars 2019 consid. 1.3).</w:t>
      </w:r>
    </w:p>
    <w:p>
      <w:r>
        <w:rPr>
          <w:b/>
        </w:rPr>
        <w:t>E. 3.2</w:t>
      </w:r>
    </w:p>
    <w:p>
      <w:r>
        <w:t>En l'espèce, c'est en vain que l'appelant allègue n'avoir commis que des infractions " bagatelles ". Certes, la quotité de la peine infligée est relativement basse mais elle l'est uniquement en raison des règles applicables sur le concours et de la clémence dont a fait preuve le premier juge. L'appelant a affiché, de manière répétée, une volonté marquée de ne pas vouloir se conformer à la législation sur les étrangers, faisant fi des décisions le concernant et violant à tout le moins à cinq reprises la même interdiction de pénétrer sur le territoire genevois et ce, de surcroît, afin de s'adonner au trafic de stupéfiants ou pour aller en soirée. Il s'est en outre rendu coupable de délits à la LStup à six reprises, ses activités visant notamment quelque 13 grammes de cocaïne. Ses agissements étaient propres à mettre en danger la santé de plusieurs consommateurs et doivent être qualifiés de non négligeables. En outre, l'appelant est multirécidiviste au sens de la disposition susvisée, ses antécédents étant nombreux et spécifiques. L'appelant représente objectivement une menace pour la sécurité de l'ordre public suisse, vu la répétition de comportements illicites depuis près d'une dizaine d'années. En outre, il ne peut faire valoir aucun intérêt privé à demeurer sur le territoire helvétique, où il n'a aucune attache. L'intérêt public commande ainsi son expulsion et l'emporte sur ses intérêts privés. Au vu de ce qui précède, l'expulsion de l'appelant n'est pas disproportionnée et sera confirmée. Il en ira de même de la durée de cette mesure, arrêtée à trois ans par le premier juge, soit le minimum légal. La renonciation du signalement au SIS lui est acquise. En définitive, l'appel est intégralement rejeté et le jugement entrepris sera confirmé.</w:t>
      </w:r>
    </w:p>
    <w:p>
      <w:r>
        <w:rPr>
          <w:b/>
        </w:rPr>
        <w:t>E. 4</w:t>
      </w:r>
    </w:p>
    <w:p>
      <w:r>
        <w:t>1. Selon l'art. 428 al. 1 première phrase CPP, les frais de la procédure de recours sont mis à la charge des parties dans la mesure où elles ont obtenu gain de cause ou succombé.</w:t>
      </w:r>
    </w:p>
    <w:p>
      <w:r>
        <w:rPr>
          <w:b/>
        </w:rPr>
        <w:t>E. 4.2</w:t>
      </w:r>
    </w:p>
    <w:p>
      <w:r>
        <w:t>En l'espèce, l'appelant succombe dans son appel. Partant, il sera condamné à l'intégralité des frais de la procédure envers l'État, lesquels comprendront un émolument d'arrêt de CHF 1'200.- (art. 14 al. 1 let e du Règlement fixant le tarif des frais en matière pénale [RTFMP]). Il n'y a pas lieu de revenir sur sa condamnation à ceux de la procédure préliminaire et de première instance, émolument complémentaire de jugement compris (art. 428 al. 3 CPP a contrario).</w:t>
      </w:r>
    </w:p>
    <w:p>
      <w:r>
        <w:rPr>
          <w:b/>
        </w:rPr>
        <w:t>E. 5</w:t>
      </w:r>
    </w:p>
    <w:p>
      <w:r>
        <w:t>Considéré globalement, l'état de frais produit par M e C______, défenseure d'office de A______, satisfait les exigences légales et jurisprudentielles régissant l'assistance judiciaire gratuite en matière pénale. Sa rémunération sera partant arrêtée à CHF 518.90 correspondant à 2h00 d'activité au tarif de CHF 200.-/heure plus la majoration forfaitaire de 20% et l'équivalent de la TVA au taux de 8.1% en CHF 38.90.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