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P/20109/2017 vom 5. August 2019</w:t>
      </w:r>
    </w:p>
    <w:p>
      <w:r>
        <w:t>GE Cour de justice, 2019-08-05, FR</w:t>
      </w:r>
    </w:p>
    <w:p>
      <w:r>
        <w:rPr>
          <w:b/>
        </w:rPr>
        <w:t xml:space="preserve">Quelle: </w:t>
      </w:r>
      <w:r>
        <w:t>https://mcp.opencaselaw.ch/entscheid/ge_gerichte_P_20109_2017</w:t>
      </w:r>
    </w:p>
    <w:p>
      <w:r>
        <w:t>FR: GE_GERICHTE P/20109/2017 du 5 août 2019</w:t>
      </w:r>
    </w:p>
    <w:p>
      <w:r>
        <w:t>IT: GE_GERICHTE P/20109/2017 del 5 agosto 2019</w:t>
      </w:r>
    </w:p>
    <w:p>
      <w:pPr>
        <w:pStyle w:val="Heading2"/>
      </w:pPr>
      <w:r>
        <w:t>Regeste</w:t>
      </w:r>
    </w:p>
    <w:p>
      <w:r>
        <w:t>CLASSEMENT DE LA PROCÉDURE;INFRACTIONS CONTRE LE PATRIMOINE;COMPLICITÉ;PARTICIPATION À L'INFRACTION;INFRACTIONS CONTRE LA LIBERTÉ | CPP.319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de l'absence de motivation de la décision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ATF 135 I 265 consid. 4.3; ATF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138 I 232 consid. 5.1;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2.2</w:t>
      </w:r>
    </w:p>
    <w:p>
      <w:r>
        <w:t>En l'espèce, la décision entreprise mentionne de manière suffisante les éléments retenus à l'appui du classement des infractions litigieuses. D'ailleurs, la recourante a été en mesure de la contester dans le cadre de son écriture de recours, ainsi que de se déterminer sur les observations du Ministère public, détaillant de manière circonstanciée les raisons ayant menées à ladite décision. En conséquence, ce grief est rejeté.</w:t>
      </w:r>
    </w:p>
    <w:p>
      <w:r>
        <w:rPr>
          <w:b/>
        </w:rPr>
        <w:t>E. 3</w:t>
      </w:r>
    </w:p>
    <w:p>
      <w:r>
        <w:t>La recourante reproche au Ministère public d'avoir classé ses plaintes pour vol, utilisation frauduleuse d'un ordinateur et menaces.</w:t>
      </w:r>
    </w:p>
    <w:p>
      <w:r>
        <w:rPr>
          <w:b/>
        </w:rPr>
        <w:t>E. 3.1</w:t>
      </w:r>
    </w:p>
    <w:p>
      <w:r>
        <w:t>Aux termes de l'art. 319 al. 1 let. a CPP, le ministère public ordonne le classement de tout ou partie de la procédure notamment lorsqu'aucun soupçon justifiant une mise en accusation n'est établi. La décision de classer la procédure doit être prise en application du principe "in dubio pro duriore",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 3.2.1. L'art. 139 ch. 1 CP réprime le comportement de celui qui, pour se procurer ou procurer à un tiers un enrichissement illégitime, aura soustrait une chose mobilière appartenant à autrui dans le but de se l'approprier. 3.2.2. En l'occurrence, il ressort de l'ensemble des éléments au dossier que c'est D______ qui, seule, a subtilisé la carte E______ chez elle. Le prévenu n'a jamais été en sa possession. Par ailleurs, rien n'indique que le prévenu l'ait incitée à commettre ce vol ou en ait été complice, car il n'a été informé de la soustraction qu'après coup. Partant, il n'existe pas de soupçon suffisant justifiant une mise en accusation à l'encontre du prévenu pour ce motif. 3.3.1. Se rend coupable d'utilisation frauduleuse d'un ordinateur au sens de l'art. 147 CP, celui qui, dans le dessein de se procurer ou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Celui qui utilise une carte de crédit volée, par exemple pour retirer de l'argent à l'automate, commet une utilisation indue des données (M. DUPUIS / L. MOREILLON / C. PIGUET / S. BERGER / M. MAZOU / V. RODIGARI (éds), Code pénal - Petit commentaire , 2 e éd., Bâle 2017, n. 12 ad art. 147 et les références citées). 3.3.2.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128 IV 53 consid. 5f/cc; ATF 121 IV 109 consid. 3a). 3.3.3. L'instigation (art. 24 CP)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ATF 127 IV 122 consid. 2b/aa et les références ; ATF 124 IV 34 consid. 2c et les références ; arrêt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arrêt du Tribunal fédéral 6B_1305/2015 du 13 avril 2016 consid. 2.1.). 3.3.4. En l'espèce, les déclarations tant de D______ que du prévenu concordent sur le fait que c'est uniquement la jeune fille qui a utilisé la carte E______ et signé les tickets de caisse. Reste à analyser si le prévenu a agi en qualité de complice, voire d'instigateur. Pour cela, il sied de déterminer s'il était au courant que cette dernière utilisait la carte sans droit. À cet égard, il a toujours nié une quelconque connaissance de la soustraction préalable de la carte. En effet, D______ avait dérobé celle-ci chez elle et lui avait dit que sa mère la lui avait donnée. Ainsi, quand bien même il s'était rendu compte, à un moment donné, que la carte appartenait à la recourante, cela ne signifie pas encore qu'il devait en déduire que D______ l'avait soustraite à sa mère. D______ a prétendu qu'elle croyait qu'il s'agissait d'un cadeau. On ne saurait dès lors reprocher au prévenu de n'avoir pas pu penser que sa petite amie n'était pas autorisée à l'utiliser. D______ n'a en effet jamais affirmé qu'au moment des faits, le prévenu savait qu'elle avait subtilisé la carte, bien au contraire. Ainsi, on ne peut considérer qu'il se soit rendu complice des achats effectués par ce moyen. Au surplus, s'agissant d'une éventuelle incitation du prévenu à effectuer des achats pour lui, les versions des intéressés sont contradictoires, celui-ci ayant toujours nié avoir demandé quoique ce soit à sa petite amie, pensant qu'il s'agissait de cadeaux. Bien que la jeune femme ait déclaré qu'il lui avait demandé de lui acheter des choses, elle a également expliqué qu'elle était plusieurs fois retournée dans les magasins E______, pas forcément accompagnée du prévenu, pour faire divers achats. De plus, selon ses propres déclarations, elle était, d'une part, en conflit avec sa mère et souhaitait lui jouer un mauvais tour, et d'autre part, amoureuse du prévenu, à qui elle voulait faire plaisir. Ainsi, il apparaît qu'elle entendait en pleine conscience acheter notamment, des cadeaux au prévenu. Faute de pouvoir retenir que le prévenu avait exercé une quelconque influence psychique ou intellectuelle sur D______, il ne peut lui être reproché d'avoir commis l'infraction d'utilisation frauduleuse d'un ordinateur, même en qualité de complice ou d'instigateur. Au regard de ce qui précède, c'est à juste titre que le Ministère public a refusé les actes d'enquêtes sollicités, en particulier, la production des images de vidéos surveillance des magasins E______, celle-ci n'étant pas à même d'apporter un élément nouveau pertinent. En effet, à supposer que les images en question seraient toujours disponibles, plus de deux ans et demi après les faits, elles permettraient tout au plus de voir le prévenu et D______ ensemble, à une ou plusieurs reprises, effectuer des achats, ce qui n'est pas contesté. Ce grief est également rejeté. 3.4.1. L'art. 180 CP punit, sur plainte, celui qui, par une menace grave, aura alarmé ou effrayé une personne.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Cet élément constitutif de l'infraction, qui se rapporte au contenu des pensées d'une personne, relève de l'établissement des faits (ATF 135 IV 152 consid. 2.3.2; ATF 119 IV 1 consid. 5a; arrêt du Tribunal fédéral 6B_1328/2017 du 10 avril 2018 consid. 2.1). Peu importe que les menaces aient été rapportées de manière indirecte à la victime (arrêts du Tribunal fédéral 6B_578/2016 du 19 août 2016 consid. 2.1 ; 6B_871/2014 du 24 août 2015 consid. 2.2.2). 3.4.2. En l'occurrence, il ressort des déclarations de la recourante et de celles de F______ qu'au moment de quitter le parking, elles avaient vu le mis en cause se diriger rapidement vers elles, casque à la main, en gesticulant et hurlant. Arrivé près de leur voiture, il avait brisé le pare-brise avec son casque. Un tel comportement à la suite de l'altercation intervenue dans la chambre d'hôtel quelques instants plus tôt, et compte tenu de la relation entre les intéressés, a suscité de la peur chez la recourante, comme le démontre sa réaction, puisqu'elle s'est " baissée en avant à l'intérieur du véhicule" , manifestement pour se protéger, alors que le mis en cause s'apprêtait à " donn [er] un coup contre le pare-brise" . Il en va de même de son amie, qui a qualifié l'attitude du mis en cause d'intimidante et menaçante, au point de craindre pour son intégrité physique. De ses propres aveux, le mis en cause a reconnu avoir "pété les plombs" . Au regard de ce qui précède, il existe donc, à ce stade et pour ce comportement, une prévention pénale suffisante d'infraction à l'art. 180 CP. Partant, les conditions d'un classement n'étant pas réalisées à l'égard de cette infraction, la cause sera renvoyée au Ministère public.</w:t>
      </w:r>
    </w:p>
    <w:p>
      <w:r>
        <w:rPr>
          <w:b/>
        </w:rPr>
        <w:t>E. 4</w:t>
      </w:r>
    </w:p>
    <w:p>
      <w:r>
        <w:t>Fondé, le recours doit être partiellement admis et l'ordonnance querellée annulée. La cause devra être renvoyée au Ministère public pour qu'il procède conformément aux considérants qui précèdent.</w:t>
      </w:r>
    </w:p>
    <w:p>
      <w:r>
        <w:rPr>
          <w:b/>
        </w:rPr>
        <w:t>E. 5</w:t>
      </w:r>
    </w:p>
    <w:p>
      <w:r>
        <w:t>La recourante, qui obtient très partiellement gain de cause, et, donc, succombe sur la majorité de ses griefs, supportera 2/3 des frais envers l'État, qui seront fixés en totalité à CHF 900.- (art. 428 al. 1 et 4 CPP et 13 al. 1 du Règlement fixant le tarif des frais en matière pénale, RTFMP ; E 4 10.03). Le solde sera laissé à la charge de l'État.</w:t>
      </w:r>
    </w:p>
    <w:p>
      <w:r>
        <w:rPr>
          <w:b/>
        </w:rPr>
        <w:t>E. 6</w:t>
      </w:r>
    </w:p>
    <w:p>
      <w:r>
        <w:t>La recourante a sollicité une indemnité qu'elle n'a pas chiffrée. Il ne lui en sera pas allouée (art. 433 al. 2 CPP).</w:t>
      </w:r>
    </w:p>
    <w:p>
      <w:r>
        <w:rPr>
          <w:b/>
        </w:rPr>
        <w:t>E. 7</w:t>
      </w:r>
    </w:p>
    <w:p>
      <w:r>
        <w:t>L'intimé, qui a partiellement gain de cause, n'a pas demandé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