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P/20091/2020 vom 6. August 2024</w:t>
      </w:r>
    </w:p>
    <w:p>
      <w:r>
        <w:t>GE Cour de justice, 2024-08-06, FR</w:t>
      </w:r>
    </w:p>
    <w:p>
      <w:r>
        <w:rPr>
          <w:b/>
        </w:rPr>
        <w:t xml:space="preserve">Quelle: </w:t>
      </w:r>
      <w:r>
        <w:t>https://mcp.opencaselaw.ch/entscheid/ge_gerichte_P_20091_2020</w:t>
      </w:r>
    </w:p>
    <w:p>
      <w:r>
        <w:t>FR: GE_GERICHTE P/20091/2020 du 6 août 2024</w:t>
      </w:r>
    </w:p>
    <w:p>
      <w:r>
        <w:t>IT: GE_GERICHTE P/20091/2020 del 6 agosto 2024</w:t>
      </w:r>
    </w:p>
    <w:p>
      <w:pPr>
        <w:pStyle w:val="Heading2"/>
      </w:pPr>
      <w:r>
        <w:t>Regeste</w:t>
      </w:r>
    </w:p>
    <w:p>
      <w:r>
        <w:t>PERQUISITION DE DOCUMENTS ET ENREGISTREMENTS;MESURE PROVISIONNELLE;SCELLÉS;DÉCISION D'IRRECEVABILITÉ;SÉQUESTRE(MESURE PROVISIONNELLE) | CPP.393.al1.leta; CPP.196; CPP.197</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À teneur de l'art. 393 al. 1 let. a CPP, le recours est ouvert contre les décisions et les actes de procédure de la police, du ministère public et des autorités pénales compétentes en matière de contraventions. Cette disposition implique qu'une ordonnance de perquisition et de séquestre – qui constitue une mesure de contrainte au sens de l'art. 196 CPP – est, en principe, sujette à recours auprès de la Chambre de céans (cf. art. 198 al. 1 let. a CPP ; Y. JEANNERET / A. KUHN / C. PERRIER DEPEURSINGE (éds), Commentaire romand : Code de procédure pénale suisse , 2e éd., Bâle 2019, n. 33 ad art. 393). Cela étant, le recours n'est pas ouvert dans le cas où des mesures de contrainte débouchent sur une procédure d'apposition et de levée des scellés, celle-ci permettant à l'ayant droit d'invoquer ses objections, dont l'insuffisance de soupçons laissant présumer une infraction (art. 197 al. 1 let. b CPP), l'absence de pertinence des objets ou documents séquestrés pour la procédure pénale, la violation du principe de proportionnalité (art. 197 al. 1 let. c CPP) ou l'illicéité de l'ordre de perquisition, puisqu'il n'est en principe pas admissible de pouvoir présenter au cours d'une procédure pénale des preuves obtenues de manière illicite (art. 139 et 141 CPP ; ATF 143 IV 270 consid. 6-7 ; arrêts du Tribunal fédéral 1B_550/2021 du 13 janvier 2022 consid. 3.1.2 ; 1B_275/2020 du 22 septembre 2020 consid. 3.1.2). En particulier, la contestation de la licéité d'un mandat de perquisition et de séquestre et les griefs relatifs à la violation du principe de proportionnalité (par exemple en cas de " fishing expedition ") ou au comportement de la police dans le cadre de la perquisition (y compris le traitement et l'utilisation de données en violation des scellés) doivent être soulevés dans le cadre de la procédure de levée de scellés, qui " a le pas sur un éventuel recours formé contre ce mandat [de perquisition et de séquestre] " (arrêt du Tribunal fédéral 7B_253/2023 du 31 août 2023 consid. 3.2).</w:t>
      </w:r>
    </w:p>
    <w:p>
      <w:r>
        <w:rPr>
          <w:b/>
        </w:rPr>
        <w:t>E. 2.2</w:t>
      </w:r>
    </w:p>
    <w:p>
      <w:r>
        <w:t>En l'espèce, le recourant a demandé la mise sous scellés des deux téléphones portables et des données qui y sont contenues, ce qui a conduit à une procédure de levée de scellés, qui est toujours en cours. Dans ce cadre, il a pu faire valoir ses griefs tirés de la violation du principe de proportionnalité et de l'absence de pertinence des données séquestrées. Conformément à la jurisprudence susmentionnée, le recours contre l'ordonnance de perquisition et de séquestre n'est par conséquent pas ouvert.</w:t>
      </w:r>
    </w:p>
    <w:p>
      <w:r>
        <w:rPr>
          <w:b/>
        </w:rPr>
        <w:t>E. 3</w:t>
      </w:r>
    </w:p>
    <w:p>
      <w:r>
        <w:t>Au vu de ce qui précède, le recours doit être déclaré irrecevable.</w:t>
      </w:r>
    </w:p>
    <w:p>
      <w:r>
        <w:rPr>
          <w:b/>
        </w:rPr>
        <w:t>E. 4</w:t>
      </w:r>
    </w:p>
    <w:p>
      <w:r>
        <w:t>Le recourant, qui succombe, supportera les frais envers l'État, fixés en totalité à CHF 600.- (art. 428 al. 1 CPP et 13 al. 1 du Règlement fixant le tarif des frais en matière pénale, RTFMP ; E 4 10.03). L'autorité de recours est en effet tenue de dresser un état de frais pour la procédure de deuxième instance, sans égard à l'obtention de l'assistance judiciaire (arrêts du Tribunal fédéral 1B_372/2014 du 8 avril 2015 consid. 4.6 et 1B_203/2011 du 18 mai 2011 consid. 4).</w:t>
      </w:r>
    </w:p>
    <w:p>
      <w:r>
        <w:rPr>
          <w:b/>
        </w:rPr>
        <w:t>E. 5</w:t>
      </w:r>
    </w:p>
    <w:p>
      <w:r>
        <w:t>Il sera statué sur l'indemnité du défenseur d'office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