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P/20040/2017 vom 14. Juni 2019</w:t>
      </w:r>
    </w:p>
    <w:p>
      <w:r>
        <w:t>GE Cour de justice, 2019-06-14, FR</w:t>
      </w:r>
    </w:p>
    <w:p>
      <w:r>
        <w:rPr>
          <w:b/>
        </w:rPr>
        <w:t xml:space="preserve">Quelle: </w:t>
      </w:r>
      <w:r>
        <w:t>https://mcp.opencaselaw.ch/entscheid/ge_gerichte_P_20040_2017</w:t>
      </w:r>
    </w:p>
    <w:p>
      <w:r>
        <w:t>FR: GE_GERICHTE P/20040/2017 du 14 juin 2019</w:t>
      </w:r>
    </w:p>
    <w:p>
      <w:r>
        <w:t>IT: GE_GERICHTE P/20040/2017 del 14 giugno 2019</w:t>
      </w:r>
    </w:p>
    <w:p>
      <w:pPr>
        <w:pStyle w:val="Heading2"/>
      </w:pPr>
      <w:r>
        <w:t>Regeste</w:t>
      </w:r>
    </w:p>
    <w:p>
      <w:r>
        <w:t>JEUNE ADULTE | CP.61; CPP.4282a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Seules sont ainsi litigieuses en l'espèce la peine prononcée ainsi que la mesure de placement dans un établissement pour jeunes adultes.</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2.3</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2.4</w:t>
      </w:r>
    </w:p>
    <w:p>
      <w:r>
        <w:t>En l'espèce, l'appelant ne conteste à raison pas le principe du prononcé d'une peine privative de liberté ferme pour toutes les infractions reprochées. En effet, compte tenu de la multiplicité des infractions et des biens juridiques visés, des condamnations antérieures, de la répétition des agissements alors que le prévenu bénéficiait d'une mise en liberté avec mesures de substitution, seule entre en ligne de compte une peine privative de liberté ferme. 2.5.1. La faute de l'appelant est importante. Il s'en est pris à une multiplicité de biens juridiques (intégrité physique, liberté, honneur, patrimoine, respect de l'autorité). La période pénale est longue, et la CPAR ne peut que constater, avec les premiers juges, que l'appelant a eu à plusieurs reprises, tant au cours de la présente procédure pénale que par le passé, l'occasion de se reprendre en mains et de recevoir de l'aide, ce qu'il n'a ni voulu, ni su demander. Il a en effet agi pendant le délai d'épreuve du sursis accordé le 6 février 2017 et alors qu'il était astreint à des règles de conduite comprenant un suivi psychothérapeutique et une assistance de probation. Il a encore agi alors qu'il était sous le coup de mesures de substitution de même teneur. Ses victimes étaient choisies au hasard, et il a fait preuve d'une grande lâcheté, s'attaquant en groupe à des personnes, s'en prenant même à une personne qui était déjà à terre. Il a agressé et terrorisé une jeune fille de son voisinage qui n'avait en rien occasionné ou provoqué ses actes, ou s'en est encore pris à des passants. Il s'est affranchi de décisions de l'autorité pour se rendre en des lieux où il lui avait été fait interdiction d'accéder. Il a agi parfois par appât du gain, mais surtout par défoulement gratuit et par emportement colérique. Son impulsivité a également joué un rôle, et il sera en conséquence tenu compte, avec les experts, d'une responsabilité très faiblement restreinte. Son oisiveté pendant toute la période pénale n'explique ni n'excuse son comportement, au contraire. L'appelant n'était pas sans ressources puisque ses parents n'ont jamais cessé de le soutenir, et qu'il avait la possibilité - voire l'obligation - de s'adresser au service de probation pour obtenir son soutien dans ses démarches d'insertion professionnelle. Il pouvait contacter des professionnels compétents pour remédier à ses addictions. Il n'a toutefois jamais saisi à leur juste valeur ces opportunités de rester dans le droit chemin. Les avertissements que représentent ses précédentes condamnations et ses arrestations répétées n'ont manifestement servi à rien. L'appelant a bien collaboré à l'enquête, ce dont il sera tenu compte en sa faveur. Il s'est excusé et a exprimé une certaine prise de conscience, même si, avec les intervenants qui le suivent actuellement, la CPAR est inquiète du peu de réalisme de son positionnement actuel par rapport à ses addictions, qui font craindre une rechute au moment de la sortie du milieu carcéral et de son cadre strict. 2.5.2. L'appelant a commis les infractions visées par la présente procédure pendant le délai d'épreuve de la condamnation du 6 février 2017, dont le sursis doit, au vu de son attitude et du pronostic défavorable qui en découle, être révoqué. La CPAR doit ainsi fixer une première peine d'ensemble tenant compte des nouvelles infractions, puis l'aggraver pour fixer la peine d'ensemble incluant le sursis révoqué. 2.5.3. L'infraction la plus grave est indubitablement le brigandage doublé d'une extorsion du 10 mars 2018, au cours duquel le prévenu a menacé un couple pour leur voler leur argent, puis a persévéré dans ses menaces pour les contraindre à retirer de l'argent au distributeur d'une banque. Si le montant du butin (CHF 200.-) est resté modeste, l'intensité délictuelle et la violence inhérente à ces actes emportent une peine de base de 18 à 20 mois. Cette peine doit être aggravée pour tenir compte d'une agression et d'une rixe, à raison, pour ces complexes de fait, d'une peine de quatre, respectivement trois mois. Les menaces répétées, la tentative de contrainte et les lésions corporelles au détriment de la plaignante entraînent, au vu de leur intensité et de leur durée, une aggravation de l'ordre de neuf mois. La peine qui doit servir de peine de base à la peine d'ensemble après révocation du sursis atteint ainsi déjà quasiment la peine prononcée par les premiers juges. La CPAR devrait l'aggraver pour fier la peine incluant le sursis révoqué, mais l'appel ayant été interjeté uniquement en faveur du prévenu, elle est liée par la peine prononcée par les premiers juges, qui ne peut être aggravée (art. 391 al. 2 CPP) et sera en conséquence confirmée.</w:t>
      </w:r>
    </w:p>
    <w:p>
      <w:r>
        <w:rPr>
          <w:b/>
        </w:rPr>
        <w:t>E. 3</w:t>
      </w:r>
    </w:p>
    <w:p>
      <w:r>
        <w:t>3.1. 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Quatre conditions doivent être réalisées pour qu'une mesure puisse être prononcée en application de cette disposition. L'auteur doit être âgé de 18 à 25 ans au moment de la commission de l'infraction, il doit souffrir de graves troubles du développement de la personnalité, l'infraction commise doit être en lien avec ces troubles et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consid. 2b p. 354 s.).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p. 240 ; 123 IV 113 consid. 4c p. 122 ; 118 IV 351 consid. 2b et d p. 354 ss). Le placement implique une disposition minimale à coopérer, le jeune adulte devant présenter un minimum de motivation (ATF 142 IV 49 consid. 2.1.2 p. 51 s. ; ATF 123 IV 113 consid. 4.c/dd p. 123 s.).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internés.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(ATF 142 IV 49 consid. 2.1.2 p. 51 s. ; 6B_475/2009 du 26 août 2009 consid. 1.1.2.2).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Si les conditions de l'art. 61 CP sont remplies, le juge est tenu d'ordonner ce placement (ATF 142 IV 49 consid. 2.1.2 p. 51 s. ; 6B_475/2009 du 26 août 2009 consid. 1.1.2.2).</w:t>
      </w:r>
    </w:p>
    <w:p>
      <w:r>
        <w:rPr>
          <w:b/>
        </w:rPr>
        <w:t>E. 3.2</w:t>
      </w:r>
    </w:p>
    <w:p>
      <w:r>
        <w:t>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ne renoncera à prononcer une mesure thérapeutique institutionnelle que si l'exécution d'une telle mesure est impossible dans l'ensemble de la Suisse (arrêt du Tribunal fédéral 6B_94/2015 du 24 septembre 2015 consid. 3.1.3).</w:t>
      </w:r>
    </w:p>
    <w:p>
      <w:r>
        <w:rPr>
          <w:b/>
        </w:rPr>
        <w:t>E. 3.3</w:t>
      </w:r>
    </w:p>
    <w:p>
      <w:r>
        <w:t>En l'espèce, à dire d'expert, un placement dans un établissement au sens de l'art. 61 CP, assorti d'une mesure thérapeutique ambulatoire, est la meilleure mesure pour le prévenu. Les experts considèrent qu'une telle mesure pourrait être couronnée de succès même si elle devait être ordonnée contre la volonté du prévenu. Compte tenu du parcours scolaire, professionnel et pénal chaotique de l'appelant et de son adhésion initiale à la mesure, le prononcé de la mesure par les premiers juges apparaît adéquat et justifié. L'appelant semble avoir tiré de son incarcération à B______ un certain bénéfice, en termes de prise de conscience et d'adhésion aux soins, et la CPAR espère sincères ses déclarations selon lesquelles il veut aujourd'hui s'appuyer sur les services sociaux et médicaux pour reprendre le contrôle de son destin et s'amender. Depuis le prononcé de première instance, l'appelant a raffermi son opposition à la mesure pour jeunes adultes, pour des motifs qui font certes craindre que l'évolution esquissée ne soit que superficielle. L'appelant a clairement besoin, à dires d'experts et aux yeux de la CPAR, d'un encadrement à la fois social, psychologique et éducatif, que l'établissement fermé R______ serait susceptible de lui apporter s'il en était preneur. Cela étant, l'exécution d'une peine privative de liberté a aussi pour objectif d'améliorer le comportement social du détenu, en particulier son aptitude à vivre sans commettre d'infractions (art. 75 al. 1 CP), d'acquérir une formation (art. 75 al. 3 CP) et impose au détenu de participer activement aux efforts de resocialisation mis en oeuvre et à la préparation de sa libération (art. 75 al. 4 CP). Le régime progressif mis en place par le législateur, et que le SAPEM devra intégrer dans le plan d'exécution de la sanction du prévenu, inclut notamment des phases de travail externe (lequel peut consister en une formation, à teneur de l'art. 4 de la Décision du 25 septembre 2008 concernant le travail externe ainsi que le travail et le logement externes de la Conférence latine des autorités cantonales compétentes en matière d'exécution des peines et des mesures). L'exécution de la peine, et singulièrement le régime progressif qui devra être mis en place, conjugués à l'absence d'obstacles matériels (l'appelant parlant français et possédant la nationalité suisse), représentent un contexte permettant une exécution de peine selon des modalités favorables à sa réinsertion progressive dans la société civile. L'ensemble de ces éléments, conjugués à la longue attente prévisible avant la mise en oeuvre effective de la mesure pour jeunes adultes, conduisent la CPAR, non sans hésitation car il s'agit clairement d'un cas limite, à renoncer à l'ordonner. Le jugement entrepris sera donc modifié sur ce point.</w:t>
      </w:r>
    </w:p>
    <w:p>
      <w:r>
        <w:rPr>
          <w:b/>
        </w:rPr>
        <w:t>E. 4</w:t>
      </w:r>
    </w:p>
    <w:p>
      <w:r>
        <w:t>L'appelant, qui succombe pour l'essentiel, supportera les frais de la procédure d'appel envers l'Etat (art. 428 CPP). En effet, même si l'appel est admis s'agissant du placement dans un établissement pour jeunes adultes, c'est essentiellement le comportement contradictoire de l'appelant, qui s'était initialement déclaré favorable à la mesure et l'avait souhaitée, et avait encore marqué une relative adhésion devant les premiers juges (même si son avocat s'y était opposé) avant de changer d'avis en appel, qui a conduit la CPAR à renoncer à la prononcer. Les conditions qui lui ont permis d'obtenir gain de cause ne se sont ainsi réalisées qu'en appel (art 428 al. 2 lit. a CPP). Il n'y a a fortiori pas lieu de revoir la répartition des frais de procédure de la première instance (art. 428 al. 3 CPP a contrario ).</w:t>
      </w:r>
    </w:p>
    <w:p>
      <w:r>
        <w:rPr>
          <w:b/>
        </w:rPr>
        <w:t>E. 5.1</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rPr>
          <w:b/>
        </w:rPr>
        <w:t>E. 5.2</w:t>
      </w:r>
    </w:p>
    <w:p>
      <w:r>
        <w:t>En l'espèce, l'appelant devant supporter les frais de la procédure d'appel, il ne peut prétendre à aucune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