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P/20002/2018 vom 16. Juni 2020</w:t>
      </w:r>
    </w:p>
    <w:p>
      <w:r>
        <w:t>GE Cour de justice, 2020-06-16, FR</w:t>
      </w:r>
    </w:p>
    <w:p>
      <w:r>
        <w:rPr>
          <w:b/>
        </w:rPr>
        <w:t xml:space="preserve">Quelle: </w:t>
      </w:r>
      <w:r>
        <w:t>https://mcp.opencaselaw.ch/entscheid/ge_gerichte_P_20002_2018</w:t>
      </w:r>
    </w:p>
    <w:p>
      <w:r>
        <w:t>FR: GE_GERICHTE P/20002/2018 du 16 juin 2020</w:t>
      </w:r>
    </w:p>
    <w:p>
      <w:r>
        <w:t>IT: GE_GERICHTE P/20002/2018 del 16 giugno 2020</w:t>
      </w:r>
    </w:p>
    <w:p>
      <w:pPr>
        <w:pStyle w:val="Heading2"/>
      </w:pPr>
      <w:r>
        <w:t>Regeste</w:t>
      </w:r>
    </w:p>
    <w:p>
      <w:r>
        <w:t>INJURE | CP.177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L'auteur doit avoir agi sous le coup de l'émotion provoquée par la conduite répréhensible de l'injurié, sans avoir eu le temps de réfléchir tranquillement (ATF 83 IV 151 ; arrêt du Tribunal fédéral 6B_87/2013 du 13 mai 2013 consid. 4.4).</w:t>
      </w:r>
    </w:p>
    <w:p>
      <w:r>
        <w:rPr>
          <w:b/>
        </w:rPr>
        <w:t>E. 2.2</w:t>
      </w:r>
    </w:p>
    <w:p>
      <w:r>
        <w:t>L'art. 179 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Selon la jurisprudence (cf. ATF 126 IV 216 consid. 2b/aa p. 219 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(arrêt du Tribunal fédéral 6B_1088/2015 du 6 juin 2016 consid. 2.1).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2.3.1. En l'espèce, l'appelante ne conteste pas le caractère injurieux des propos qu'elle a tenus à l'égard de l'intimé. C'est en vain qu'elle invoque une provocation de la part de l'intimé, provocation qui ne ressort d'aucun élément de la procédure. Elle ne démontre en particulier aucun propos ni message injurieux qui auraient expliqué ce qu'elle tente de décrire comme une réaction. En particulier, le message vocal de juillet 2018 semble motivé par le fait que l'intimé avait déposé plainte, ce qui n'est évidemment pas constitutif d'une provocation au sens de l'art. 177 al. 2 CP. Faute d'avoir démontré l'existence d'une provocation de la part de l'intimé, l'appelante se prévaut en vain de l'art. 177 al. 2 CP. Le verdict de culpabilité et le prononcé d'une peine pour injures doivent donc être confirmé. 2.3.2. L'appelante conteste tout aussi vainement la réalisation des conditions de l'art. 179 septies CP. Elle ne remet à raison plus en question le nombre d'appels effectués, ni être l'auteur des appels masqués adressés à l'intimé. La motivation invoquée - la peur ou la provocation de l'intimé - est farfelue : on ne comprend pas en quoi des appels incessants sont susceptibles de mitiger la crainte qu'elle affirme ressentir pour son correspondant. Au surplus, la provocation n'est pas plus démontrée. Au contraire, les appels intempestifs et importuns, répétés parfois plusieurs dizaines de fois par jour jusqu'auprès de l'employeur de l'intimé, ne s'expliquent en réalité que par une volonté de nuire, partant, par méchanceté. L'appel doit donc également être rejeté en tant qu'il porte sur le verdict de culpabilité d'infraction à l'art. 179 septies CP.</w:t>
      </w:r>
    </w:p>
    <w:p>
      <w:r>
        <w:rPr>
          <w:b/>
        </w:rPr>
        <w:t>E. 3</w:t>
      </w:r>
    </w:p>
    <w:p>
      <w:r>
        <w:t>3.1. L'appelantene s'exprime pas sur la peine prononcée. La CPAR doit néanmoins statuer sur ce point.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l'appelante n'est pas négligeable. Dans une situation de rupture sentimentale, elle a laissé libre cours à sa colère et a procédé par méchanceté et sans égard pour la vie privée et à l'honneur de son ancien compagnon. Elle a agi de façon répétée, sur une période relativement longue, pour des motifs obscurs, n'hésitant pas à perpétrer ses agissements jusque chez l'employeur de l'intimé, dans le but manifeste de lui occasionner un maximum de désagréments. Sa situation personnelle, relativement précaire, ne présente aucune particularité et ne saurait justifier l'acharnement dont elle a fait preuve. Elle n'a pas du tout collaboré à l'enquête, s'abstenant de répondre aux convocations à réitérées reprises, niant une bonne partie des faits, revenant sur ses aveux partiels et blâmant le lésé, faisant preuve de bien peu d'introspection et encore moins de prise de conscience. L'absence d'antécédents a un effet neutre sur la fixation de la peine. Compte tenu de l'ensemble de ces éléments, les peines fixées par le premier juge, soit de 50 jours-amende à CHF 30.- l'unité, assortie du sursis et d'un délai d'épreuve de trois ans, ainsi qu'une amende de CHF 300.-, s'agissant du délit, et une amende de CHF 600.- pour la contravention, apparaissent adéquates et proportionnées à la faute commise ; elles seront confirmées.</w:t>
      </w:r>
    </w:p>
    <w:p>
      <w:r>
        <w:rPr>
          <w:b/>
        </w:rPr>
        <w:t>E. 4</w:t>
      </w:r>
    </w:p>
    <w:p>
      <w:r>
        <w:t>L'appelante, qui succombe, supportera les frais de la procédure envers l'Etat (art. 428 CPP).</w:t>
      </w:r>
    </w:p>
    <w:p>
      <w:r>
        <w:rPr>
          <w:b/>
        </w:rPr>
        <w:t>E. 5</w:t>
      </w:r>
    </w:p>
    <w:p>
      <w:r>
        <w:t>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les 30 minutes facturées pour la rédaction et l'envoi de la déclaration d'appel, document qui n'appelle pas de motivation particulière, seront écartées s'agissant d'une activité couverte par l'indemnisation forfaitaire. Pour le reste, l'état de frais produit par le conseil de l'appelante paraît adéquat et conforme aux dispositions et principes qui précèdent, de sorte qu'il sera admis. En conclusion, l'indemnité sera arrêtée à CHF 568.65 correspondant à 2 heures et 12 minutes d'activité au tarif de CHF 200.-/heure plus la majoration forfaitaire de 20% et l'équivalent de la TVA au taux de 7.7%.</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6.2</w:t>
      </w:r>
    </w:p>
    <w:p>
      <w:r>
        <w:t>En l'espèce, l'état de frais du conseil de l'intimé apparaît quelque peu élevé, singulièrement en comparaison avec celui du conseil de l'appelante, même si les développements de l'intimé sont plus longs. Le montant alloué sera ramené à CHF 1'696.25, correspondant à trois heures et demie d'activité à CHF 450.- de l'heure plus la TVA à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