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P/199/2020 vom 26. März 2021</w:t>
      </w:r>
    </w:p>
    <w:p>
      <w:r>
        <w:t>GE Cour de justice, 2021-03-26, FR</w:t>
      </w:r>
    </w:p>
    <w:p>
      <w:r>
        <w:rPr>
          <w:b/>
        </w:rPr>
        <w:t xml:space="preserve">Quelle: </w:t>
      </w:r>
      <w:r>
        <w:t>https://mcp.opencaselaw.ch/entscheid/ge_gerichte_P_199_2020</w:t>
      </w:r>
    </w:p>
    <w:p>
      <w:r>
        <w:t>FR: GE_GERICHTE P/199/2020 du 26 mars 2021</w:t>
      </w:r>
    </w:p>
    <w:p>
      <w:r>
        <w:t>IT: GE_GERICHTE P/199/2020 del 26 marzo 2021</w:t>
      </w:r>
    </w:p>
    <w:p>
      <w:pPr>
        <w:pStyle w:val="Heading2"/>
      </w:pPr>
      <w:r>
        <w:t>Regeste</w:t>
      </w:r>
    </w:p>
    <w:p>
      <w:r>
        <w:t>NON-ENTREE EN MATIERE;ABUS DE CONFIANCE;GESTION DÉLOYALE;FAUX DANS LES TITRES | CPP.310; CP.138; CP.158; CP.251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soutient qu'une instruction avait été ouverte et que le Ministère public eût dû passer par un avis de prochaine clôture. À tort. De jurisprudence constante, 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formels et matériels (arrêt du Tribunal fédéral 6B_854/2018 du 23 octobre 2018 consid. 3.1 et les références citées). À l'évidence, l'attribution d'un numéro de cause à la procédure ne saurait avoir en elle-même valeur d'ouverture d'information pénale.</w:t>
      </w:r>
    </w:p>
    <w:p>
      <w:r>
        <w:rPr>
          <w:b/>
        </w:rPr>
        <w:t>E. 4</w:t>
      </w:r>
    </w:p>
    <w:p>
      <w:r>
        <w:t>À teneur de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En d'autres termes, il doit être évident que les faits dénoncés ne tombent pas sous le coup de la loi pénale (ATF 137 IV 285 consid. 2.3. p. 287). Le principe " in dubio pro duriore "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 e éd., Bâle 2019, n. 9 ad art. 310; R. PFISTER-LIECHTI (éd.), La procédure pénale fédérale, Fondation pour la formation continue des juges suisses, Berne 2010, p. 62 ; DCPR/85/2011 du 27 avril 2011).</w:t>
      </w:r>
    </w:p>
    <w:p>
      <w:r>
        <w:rPr>
          <w:b/>
        </w:rPr>
        <w:t>E. 5</w:t>
      </w:r>
    </w:p>
    <w:p>
      <w:r>
        <w:t>La recourante estime que les pièces versées à la procédure permettaient de retenir l'existence d'une prévention suffisante des chefs d'abus de confiance et de gestion déloyale.</w:t>
      </w:r>
    </w:p>
    <w:p>
      <w:r>
        <w:rPr>
          <w:b/>
        </w:rPr>
        <w:t>E. 5.1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arrêts du Tribunal fédéral 6B_613/2016 et 6B_627/2016 du 1 er décembre 2016 consid. 4; 6B_635/2015 du 9 février 2016 consid. 3.1). Le comportement délictueux consiste à utiliser la valeur patrimoniale contrairement aux instructions reçues, en s'écartant de la destination fixée (ATF 129 IV 257 consid. 2.2.1 p. 259; arrêt du Tribunal fédéral 6B_356/2016 du 6 mars 2017 consid. 2.1). S'agissant du transfert d'une somme d'argent, on peut concevoir deux hypothèses: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spéc. p. 241 s. et les références citées).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(ATF 133 IV 21 consid. 7.2 p. 30 s, arrêt du Tribunal fédéral 6B_312/2009 du 17 juillet 2009). Du point de vue subjectif, l'auteur doit avoir agi intentionnellement et dans un dessein d'enrichissement illégitime ou de procurer à un tiers un enrichissement illégitime, qui peut être réalisé par un dol éventuel (ATF 133 IV 21 consid. 6.1.2 p. 27 et les références; ATF 118 IV 27 consid. 2a p. 34; arrêts du Tribunal fédéral 6B_356/2016 du 6 mars 2017 consid. 2.1; 6B_635/2019 du 9 février 2016 consid. 3.1).</w:t>
      </w:r>
    </w:p>
    <w:p>
      <w:r>
        <w:rPr>
          <w:b/>
        </w:rPr>
        <w:t>E. 5.2</w:t>
      </w:r>
    </w:p>
    <w:p>
      <w:r>
        <w:t>L'art. 158 ch. 1 al. 1 CP punit, du chef de gestion déloyale, d'une peine privative de liberté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La peine sera aggravée si l'auteur a agi dans le dessein de se procurer ou de procurer à un tiers un enrichissement illégitime (art. 158 ch. 1 al. 3 CP). Cette 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En règle générale, une qualité de gérant est reconnue aux organes ou membres d'organes de sociétés commerciales (ATF 105 IV 106 consid. 2 p. 109; arrêt du Tribunal fédéral 6B_412/2016 du 10 février 2017 consid. 2.2). Pour qu'il y ait gestion déloyale, il faut que le gérant ait violé une obligation liée à la gestion confiée (ATF 123 IV 17 consid. 3c p. 22), ce qui implique de déterminer, au préalable et pour chaque situation particulière, le contenu spécifique des devoirs incombant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etc. (arrêts du Tribunal fédéral 6B_412/2016 du 10 février 2017 consid. 2.3; 6B_845/2014 du 16 mars 2015 consid. 3.2; 6B_967/2013 du 21 février 2014 consid. 3.2; 6B_223/2010 du 13 janvier 2011 consid. 3.3.2 et 6B_446/2010 du 14 janvier 2010 consid. 8.4.1). L'infraction de gestion déloyale n'est consommée que s'il y a eu un préjudice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129 IV 124 consid. 3.1 p. 125; arrêt du Tribunal fédéral 6B_845/2014 du 16 mars 2015 consid. 3.3).</w:t>
      </w:r>
    </w:p>
    <w:p>
      <w:r>
        <w:rPr>
          <w:b/>
        </w:rPr>
        <w:t>E. 5.3</w:t>
      </w:r>
    </w:p>
    <w:p>
      <w:r>
        <w:t>En l'espèce, la recourante a passé un contrat de prêt avec la prévenue, par lequel elle s'engageait à lui verser CHF 200'000.-, et ce, pour la durée de deux ans. L'argent ne provenait pas de la recourante, alors en formation, mais de D______, l'un de ses fondateurs, qui l'avait versé directement sur un compte personnel de la prévenue. Aucune affectation spécifique n'était prévue par le contrat. Cela étant, D______ a déclaré à la police avoir accepté " à la dernière minute " que la prévenue se rémunérât sur le montant convenu, au motif qu'elle était sur le point de ramener un contrat de plusieurs millions de dollars à la société. En d'autres termes, D______, à le suivre, a accepté que l'argent qui serait versé à la prévenue servît à la rémunérer. Or, cette version concorde avec le courriel de la prévenue du 15 février 2016, dans lequel celle-ci demandait déjà que CHF 200'000.- lui fussent versés " as honorarium ". Par ailleurs, il n'est ni allégué ni établi que E______, autre signataire du contrat de prêt et autre administrateur de la recourante, se serait opposé à cette rémunération. Par conséquent, on ne voit pas comment la recourante peut soutenir aujourd'hui que l'argent remis à la prévenue aurait été confié à celle-ci pour qu'elle s'en servît à d'autres fins que celles qui paraissent avoir été acceptées par ses deux autres administrateurs. L’on ne voit pas ce qu'une instruction pénale apporterait à ce sujet. La recourante ne préconise aucune investigation particulière, hormis la saisie pénale des avoirs de la recourante, qui est une mesure impropre à étayer la prévention. Sous l'angle pénal, peu importent la finalité et l'intitulé de deux contrats conclus en cascade, l'un entre D______ et la recourante, l'autre entre celle-ci et la mise en cause. C'est ainsi à juste titre que le Ministère public a refusé d’entrer en matière sur cette infraction.</w:t>
      </w:r>
    </w:p>
    <w:p>
      <w:r>
        <w:rPr>
          <w:b/>
        </w:rPr>
        <w:t>E. 5.4</w:t>
      </w:r>
    </w:p>
    <w:p>
      <w:r>
        <w:t>Par ailleurs, ce n'est pas parce que la mise en cause était chargée du développement des activités commerciales de la recourante qu'elle revêtait pour autant la qualité de gérante du compte bancaire de celle-ci. Cet argent, i.e. l'argent issu de la consignation du montant du capital social, ne devait pas être géré pour lui-même, c'est-à-dire dans l'intention de produire revenus et intérêts à l'instar d'un placement financier, mais pour permettre à l'entreprise de se développer, de démarrer une activité opérationnelle. On ne peut pas reprocher à la mise en cause la violation d'un devoir de gestion par le simple fait d'avoir quasiment épuisé les liquidités bancaires de la recourante avant la fin de l'année 2016. À cet égard, la recourante reproche à la mise en cause d’avoir prélevé de l'argent à réitérées reprises à des fins purement privées et de s'être fait payer des frais de déplacement et de téléphone non justifiés. On relève, en premier lieu, qu'elle a conféré à la celle-ci un droit de signature individuelle pour toute opération jusqu'à CHF 500'000.-. Les prélèvements constatés n'apparaissent donc pas déloyaux. Par ailleurs, la recourante a déposé en vrac à la police des quittances et autres justificatifs que lui a remis la mise en cause, sans chercher à montrer en quoi ces pièces ne correspondraient pas aux prélèvements susmentionnés. Qu'elle trouve ceux-ci excessifs ne suffit pas pour leur conférer une connotation pénale. Elle ne dit d'ailleurs pas quels eussent été les frais à consacrer raisonnablement, selon elle, à de la prospection, par exemple en Chine, et ce, sur la base d'un budget prévisionnel ou d'une directive sur les frais professionnels, que son Conseil d'administration aurait adopté et qui eût été contraignant pour la mise en cause. Pour le surplus, des promesses de remboursement non tenues ne sont pas l'indice d'une gestion déloyale.</w:t>
      </w:r>
    </w:p>
    <w:p>
      <w:r>
        <w:rPr>
          <w:b/>
        </w:rPr>
        <w:t>E. 6</w:t>
      </w:r>
    </w:p>
    <w:p>
      <w:r>
        <w:t>La recourante soutient que la mise en cause a établi une " fausse facture " de CHF 235'531.90, destinée à fausser les résultats de sa comptabilité en laissant croire que F______ SA était une cliente.</w:t>
      </w:r>
    </w:p>
    <w:p>
      <w:r>
        <w:rPr>
          <w:b/>
        </w:rPr>
        <w:t>E. 6.1</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p. 121; 138 IV 130 consid. 2.1 p. 134). Un simple mensonge écrit ne constitue pas un faux intellectuel.</w:t>
      </w:r>
    </w:p>
    <w:p>
      <w:r>
        <w:rPr>
          <w:b/>
        </w:rPr>
        <w:t>E. 6.2</w:t>
      </w:r>
    </w:p>
    <w:p>
      <w:r>
        <w:t>Les factures ne sont pas des titres, même munies d'une quittance, dans la mesure où elles ne contiennent en règle générale que de simples allégations de l'auteur concernant la prestation due par le destinataire (ATF 142 IV 119 consid. 2.2 ; 138 IV 130 consid. 2.2.1; 125 IV 17 consid. 2/aa; 121 IV 131 consid. 2c; arrêt du Tribunal fédéral 6B_1096/2015 du 9 décembre 2015 consid. 3.3.2). Cependant, l'auteur peut se rendre coupable de faux intellectuel dans les titres lorsqu'une facture au contenu inexact ne remplit pas qu'une fonction de facturation, mais qu'elle est destinée, objectivement et subjectivement, à servir au destinataire avant tout comme pièce comptable, si bien que sa comptabilité s'en trouve faussée (ATF 138 IV 130 consid. 2.4.3 et 3.1).</w:t>
      </w:r>
    </w:p>
    <w:p>
      <w:r>
        <w:rPr>
          <w:b/>
        </w:rPr>
        <w:t>E. 6.3</w:t>
      </w:r>
    </w:p>
    <w:p>
      <w:r>
        <w:t>En l’espèce, les accusations portées par la recourante sur le sens et le but de la " fausse facture " adressées à F______ SA (donner une image fallacieuse de sa situation financière) paraissent contredites par les explications de D______ (créer une confusion avec le travail qu'elle aurait accompli en faveur de cette société-là). Quoi qu'il en soit, le document n'est pas constitutif d'un faux intellectuel. La facture litigieuse ne revêt aucune force probante particulière. Elle a été contestée par F______ SA, puis " annulée " par le Conseil d'administration de la recourante. On ne voit pas quel avantage illicite elle eût dû procurer à la mise en cause, puisque son nom n'y figure pas et que la créancière apparente était la recourante, avec laquelle elle ne se confond pas. À cet égard, du point de vue de son destinataire (F______ SA), la facture litigieuse – quand bien même son contenu serait inexact ou mensonger – ne constitue pas un faux intellectuel non plus, car cette société n'a pas été abusée, l'a contestée et ne l'a donc pas intégrée dans sa propre comptabilité. Par surcroît, F______ SA n'a pas déposé plainte pénale, et la recourante n'est pas légitimée à plaider pour elle. Partant, il n'existe pas de soupçon suffisant à l'appui d'un faux dans les titres.</w:t>
      </w:r>
    </w:p>
    <w:p>
      <w:r>
        <w:rPr>
          <w:b/>
        </w:rPr>
        <w:t>E. 7</w:t>
      </w:r>
    </w:p>
    <w:p>
      <w:r>
        <w:t>Le recours s'avère infondé et doit être rejeté.</w:t>
      </w:r>
    </w:p>
    <w:p>
      <w:r>
        <w:rPr>
          <w:b/>
        </w:rPr>
        <w:t>E. 8</w:t>
      </w:r>
    </w:p>
    <w:p>
      <w:r>
        <w:t>La recourante, qui succombe dans toutes ses conclusions,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