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P/19999/2017 vom 19. Oktober 2021</w:t>
      </w:r>
    </w:p>
    <w:p>
      <w:r>
        <w:t>GE Cour de justice, 2021-10-19, FR</w:t>
      </w:r>
    </w:p>
    <w:p>
      <w:r>
        <w:rPr>
          <w:b/>
        </w:rPr>
        <w:t xml:space="preserve">Quelle: </w:t>
      </w:r>
      <w:r>
        <w:t>https://mcp.opencaselaw.ch/entscheid/ge_gerichte_P_19999_2017</w:t>
      </w:r>
    </w:p>
    <w:p>
      <w:r>
        <w:t>FR: GE_GERICHTE P/19999/2017 du 19 octobre 2021</w:t>
      </w:r>
    </w:p>
    <w:p>
      <w:r>
        <w:t>IT: GE_GERICHTE P/19999/2017 del 19 ottobre 2021</w:t>
      </w:r>
    </w:p>
    <w:p>
      <w:pPr>
        <w:pStyle w:val="Heading2"/>
      </w:pPr>
      <w:r>
        <w:t>Regeste</w:t>
      </w:r>
    </w:p>
    <w:p>
      <w:r>
        <w:t>IN DUBIO PRO REO;OBTENTION ILLICITE DE PRESTATIONS D'UNE ASSURANCE SOCIALE;FIXATION DE LA PEINE;FAUX DANS LES TITRES;COMPORTEMENT FRAUDULEUX A L'EGARD DES AUTORITES;EXPULSION | CP.251.ch1; CP.148a; CP.47; CP.66a; LEI.118</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p. 87 s.). 2.2.1. Le comportement frauduleux à l'égard des autorités au sens de l'art. 118 al. 1 LEI prévoit que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Selon le message du Conseil fédéral (FF 2002, p. 3588), les personnes impliquées trompent par leur comportement les autorités délivrant des autorisations, car celles-ci n’octroieraient pas d’autorisation si elles connaissaient les données réelles. Selon l’art. 90 LEI, les personnes impliquées dans la procédure sont tenues de faire des déclarations conformes à la vérité (l'étranger ou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ce qui l'amène à accorder ou renouveler une autorisation. L'erreur doit avoir comme objet des faits. Il doit exister un lien de causalité adéquate entre la tromperie et l'octroi de l'autorisation de séjour. Si l'autorité avait eu connaissance de la vérité, elle n'aurait pas délivré cette autorisation (M.S. NGUYEN / C. AMARELLE (éds), Code annoté de droit des migrations, vol. II, Loi sur les étrangers , Berne 2017, n. 7 et 9 ad art.  118 LEtr ; L. VETTERLI / G. D'ADDARIO DI PAOLO, in Bundesgesetz über die Ausländerinnen und Ausländer , Berne 2010, n. 4ss ad art. 118). Selon le Tribunal fédéral, il existe un concours réel entre l'art. 146 CP et 251 CP si l'escroquerie a été réalisée à l'aide de documents falsifiés. Il devrait en être de même concernant l'art. 118 LEI (M.S. NGUYEN / C. AMARELLE (éds), op. cit ., n. 33 ad art. 118 LEtr). 2.2.2. En l'occurence,l'appelant n'a signé aucun des documents figurant dans la demande de permis de séjour. Concernant plus particulièrement le contrat de bail produit, il ne comporte que la première page si bien qu'il ne peut être déterminé si celui-ci l'a signé. Cependant, la signature dudit contrat n'est pas déteminante en l'espèce. Il ressort en effet des éléments au dossier que la demande d'autorisation de séjour transmise à l'OCPM contient de fausses affirmations concernant la situation professionnelle et le domicile de l'appelant, ayant conduit à la délivrance d'un permis B à ce dernier. L'appelant a déclaré dans un premier temps qu'il était entré en contact avec C______ afin que celui-ci lui permette d'obtenir un permis B contre rémunération, ce qui était une pratique répandue. Il a précisé avoir conscience qu'un domicile en Suisse et un contrat de travail valable étaient nécessaires pour l'obtention d'un tel permis et que c'était pour cette raison que C______ avait mentionné sa propre adresse dans la demande, lui-même n'y ayant jamais habité. Il a également précisé n'avoir jamais travaillé pour D______ SA. Ainsi, même s'il a toujours indiqué que C______ avait lui-même déposé la demande auprès de l'OCPM, il ressort de ses déclarations qu'il savait que les informations transmises étaient erronnées tout en étant nécessaires à l'obtention du permis de séjour, dont il s'est par la suite servi pour se légitimer et obtenir des prestations de l'assurance-chômage. Ainsi, ses déclarations subséquentes, selon lesquelles il avait payé C______ uniquement dans le but d'obtenir un emploi et sans avoir connaissance du contenu de la demande ne convainquent pas. La Cour tient dès lors pour établi que l'appelant, même s'il n'a pas rempli lui-même la demande d'autorisation de séjour, a trompé frauduleusement les autorités en chargeant C______ de déposer une telle demande contre rémunération dans le but d'obtenir un permis de séjour et de pouvoir travailler en Suisse, faits constitutifs de comportement frauduleux à l'égard des autorités au sens de l'art. 118 al. 1 LEI. Par conséquent, le jugement entrepris sera confirmé sur ce point. 2.3.1.1. En matière d'obtention illicite de l’aide sociale, il existe trois niveaux d’infractions. Les infractions mineures sont sanctionnées par le droit pénal cantonal en matière d’aide sociale et par le droit fédéral régissant les assurances sociales. Lorsque l’auteur a induit autrui en erreur ou l'a conforté dans son erreur il convient d'appliquer l’art. 148a CP (cf. Message du Conseil fédéral concernant une modification du code pénal et du code pénal militaire [Mise en œuvre de l'art. 121, al. 3 à 6, Cst. relatif au renvoi des étrangers criminels] du 26 juin 2013, FF 2013, p. 5435 [Message du Conseil fédéral du 26 juin 2013]). 2.3.1.2. L'art. 148a CP, entré en vigueur le 1er octobre 2016, punit d'une peine privative de liberté d'un an au plus ou d'une peine pécuniaire,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(al. 1). Dans les cas de peu de gravité, la peine est l'amende (al. 2). L'art. 148a CP 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(p. ex. à propos de son état de santé), ou passe certains faits sous silence (cf. Message du Conseil fédéral concernant une modification du code pénal et du code pénal militaire [Mise en oeuvre de l'art. 121, al. 3 à 6, Cst. relatif au renvoi des étrangers criminels] du 26 juin 2013, FF 2013 5'432ss [Message du Conseil fédéral du 26 juin 2013]). Dans cette dernière hypothèse ("en passant sous silence"), l'art. 148a 2ème hyp. CP décrit une infraction d'omission proprement dite (arrêt du Tribunal fédéral 6B_1015/2019 du 4 décembre 2019 consid. 4.5.2 ; Message du Conseil fédéral du 26 juin 2013, p. 5432). Pour que l'infraction d'obtention illicite de prestations d'une assurance sociale soit consommée, l'erreur dans laquelle la tromperie active ou passive a mis ou conforté l'aide sociale doit avoir déterminé celle-ci à verser des prestations indues à l'auteur ou à un tiers. La réalisation de l'infraction résulte de l'obtention de prestations d'une assurance sociale auxquelles la personne n'a pas droit. Les prestations doivent avoir été effectivement versées. La simple allocation est insuffisante (Message du Conseil fédéral du 26 juin 2013, p. 5433). 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du Conseil fédéral du 26 juin 2013, p. 5433). 2.3.2. En l'espèce, il est établi que les fiches de salaire et certificats de travail transmises à la CCGC étaient fausses. L'appelant a en effet admis n'avoir jamais travaillé pour D______ SA ni n'avoir perçu de salaire de la part de cette entreprise. C______ a également déclaré avoir remis à l'intéressé ces faux documents afin de compenser le fait qu'il ne pouvait pas lui donner de travail. Il est également admis que l'adresse mentionnée dans la demande d'indemnités est fausse, l'appelant ayant déclaré n'avoir jamais habité à la rue de la Terrassière à Genève. Il ressort des pièces transmises par la CCGC que l'appelant a perçu la somme totale de CHF 4'343.20 à titre d'indemnités chômage. Il est ainsi établi que la CCGC a été induite en erreur par une demande d'indemnités chômage contenant de fausses informations, l'ayant déterminé à verser des prestations à l'intéressé. L'appelant a indiqué devant le TP avoir déposé un dossier de demande en indemnités à la CCGC mais a persisté à déclarer ne pas en connaitre le contenu. Il a admis avoir échangé des courriels avec la CCGC, ce qui ressort du dossier, mais dans le but d'obtenir un emploi et une formation en anglais et non pas des indemnités, pensant pouvoir bénéficier d'une assurance suite à la fin de son contrat de travail. Ces explications ne sont pas crédibles et en contradiction avec ses premières déclarations selon lesquelles C______ l'avait informé qu'il avait la possibilité de toucher le chômage vu son contrat de travail et qu'il était ainsi aller déposer un dossier préparé par le précité à la CCGC. Ses premiers propos sont confirmés par les déclarations de C______ selon lesquelles celui-ci avait rempli et signé l'attestation de l'employeur remise à la CCGC dans le cadre de la demande d'indemnités pour l'interessé mais n'avait pas lui-même déposé le dossier auprès de la Caisse. De plus, lors de son arrestation en septembre 2017 dans le cadre d'une affaire de stupéfiants, l'appelant a déclaré à la police se rendre à un rendez-vous avec la CCGC, qu'il percevait le chômage et que l'argent retrouvé sur lui en était une partie. Au vu de ces éléments, la Cour tient pour établi que l'appelant a déposé dans les locaux de la CCGC le dossier de demande en indemnités préparé par C______ en son nom et qu'il ne pouvait ainsi ignorer, notamment au vu de ses déclarations à la police, qu'il s'agissait d'une demande pour obtenir des indemnités chômage. Il est également retenu que l'appelant savait, au vu de ses déclarations selon lesquelles il n'avait jamais travaillé pour D______ SA et n'avait perçu aucun salaire de la part de cette entreprise, qu'il ne remplissait pas les conditions d'octroi d'indemnités chômage. Il ne peut être établi avec certitude que l'appelant a pris connaissance du contenu du dossier et ainsi notamment des fausses fiches de salaire établies par D______ SA. Toutefois, en laissant le soin à C______ de préparer ce dossier et en le déposant auprès de la CCGC tout en sachant qu'il n'avait jamais travaillé pour D______ SA et qu'il ne résidait pas à Genève, il a, par son comportement, trompé la CCGC et l'a induite en erreur, l'amenant à lui verser indûment des prestations de chômage dont il s'est illégitimement enrichi. Le fait que la demande d'indemnités ne soit pas signée n'empêche pas de retenir une tromperie de la part de l'appelant, cette imprécision n'ayant pas eu de conséquence sur les versements indus, au vu des autres pièces produites. L'appelant s'est ainsi rendu coupable d'obtention illicite de prestations d'une assurance sociale ou de l'aide sociale au sens de l'art. 148a al. 1 CP. La décision entreprise sera confirmée sur ce point. 2.4.1. 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notamment des titres tous les écrits destinés et propres à prouver un fait ayant une portée juridique, à savoir un fait qui, seul ou en liaison avec d'autres faits, donne naissance à un droit, le modifie, le supprime ou le constate (art. 110 al. 4 CP). L'aptitude à prouver se détermine en vertu de la loi ou, à défaut, en se basant sur des usages commerciaux (ATF 132 IV 57 consid. 5.1). L'art. 251 CP vise notamment le faux intellectuel, soit la constatation d'un fait inexact, en ce sens que la déclaration contenue dans le titre ne correspond pas à la réalité. Le simple mensonge écrit n'est pas répréhensible, contrairement au faux intellectuel. Pour cette raison, même si on se trouve en présence d'un titre, il est nécessaire, pour que l'acte soit punissable, que le document ait une valeur probante accrue (ATF 125 IV 17 consid. 2a/aa, JdT 2003 IV 75), c'est-à-dire que sa crédibilité doit être accrue et son destinataire doit pouvoir s'y fier raisonnablement. Il doit résulter des circonstances concrètes ou de la loi que le document est digne de confiance, de telle sorte qu'une vérification par le destinataire n'est pas nécessaire et ne saurait être exigée (ATF 144 IV 13 consid. 2.2.3 et les références ; 142 IV 119 consid. 2.1 et les références ; 138 IV 130 consid. 2.1 ; arrêt du Tribunal fédéral 6B_55/2017 du 24 mars 2017 consid. 2.2). Un certificat de salaire, respectivement un décompte de salaire, au contenu inexact constituent un simple mensonge écrit, faute de valeur probante accrue (M. DUPUIS / L. MOREILLON / C. PIGUET / S. BERGER / M. MAZOU / V. RODIGARI [éds], Petit commentaire CP , 2 ème éd., Bâle 2017, n. 40 ad art. 251) Sur le plan subjectif, le faux dans les titres est une infraction intentionnelle qui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2.1).L'illicéité peut être déduite du seul fait que l'auteur recourt à un faux (arrêts du Tribunal fédéral 6B_441/2016 du 29 mars 2017 consid. 6.2 ; 6B_367/2007 du 10 octobre 2007 consid. 4.4 non publié in ATF 133 IV 303 ). 2.4.2. En l'espèce, au vu des développements précédents, il est admis que l'appelant a remis, directement ou par le biais de C______, une demande d'indemnités de chômage à la CCGC accompagnée de fiches de salaire et d'un certificat de l'employeur indiquant faussement qu'il avait été rémunéré par D______ SA. Toutefois, au vu de la jurisprudence précitée, de tels documents n'ont pas une valeur probante accrue et ne sauraient dès lors constituer des faux intellectuels. Pour les motifs qui précédent, l'appelant sera acquitté de l'infraction de faux dans les titres au sens de l'art.  251 ch. 1 al. 3 CP</w:t>
      </w:r>
    </w:p>
    <w:p>
      <w:r>
        <w:rPr>
          <w:b/>
        </w:rPr>
        <w:t>E. 3.1</w:t>
      </w:r>
    </w:p>
    <w:p>
      <w:r>
        <w:t>Les nouvelles dispositions sur le droit des sanctions sont entrées en vigueur le 1 er janvier 2018, réforme qui marque globalement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 en l'espèce, l'ancien droit étant applicable, les faits ayant été commis avant le 1 er janvier 2018.</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w:t>
      </w:r>
    </w:p>
    <w:p>
      <w:r>
        <w:rPr>
          <w:b/>
        </w:rPr>
        <w:t>E. 3.1.2</w:t>
      </w:r>
    </w:p>
    <w:p>
      <w:r>
        <w:t>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w:t>
      </w:r>
    </w:p>
    <w:p>
      <w:r>
        <w:rPr>
          <w:b/>
        </w:rPr>
        <w:t>E. 3.1.3</w:t>
      </w:r>
    </w:p>
    <w:p>
      <w:r>
        <w:t>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3.1.4</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w:t>
      </w:r>
    </w:p>
    <w:p>
      <w:r>
        <w:rPr>
          <w:b/>
        </w:rPr>
        <w:t>E. 3.2</w:t>
      </w:r>
    </w:p>
    <w:p>
      <w:r>
        <w:t>En l'occurrence, même en considérant l'acquittement partiel prononcé, la faute de l'appelant est lourde. En utilisant de faux documents, dans le but d'obtenir indûment un permis B, puis des prestations de l'assurance-chômage, il a trompé la confiance de l'OCPM et de la CCGC. Il a agi dans son pur intérêt, au mépris de la législation en vigueur. Il a fait preuve d'une collaboration médiocre à l'enquête, persistant à nier sa culpabilité. Il a de plus tenté de minimiser sa faute, la rejetant sur C______ et faisant croire qu'il ignorait tout des démarches entreprises par celui-ci. Sa prise de conscience apparaît ainsi inexistante. Il n'a exprimé aucun regret, ni présenté d'excuses, craignant uniquement d'être expulsé du territoire suisse. Il a indiqué avoir rendu son permis B, tardivement, mais n'a pas proposé de réparer le dommage en remboursant les indemnités indûment perçues. Sa situation personnelle, certainement précaire à l'époque des faits, n'explique en rien ses agissements et l'absence d'antécédent spécifique a un effet neutre sur la fixation de la peine. En l'espèce, l'appelant ne conteste pas la peine qui lui a été infligée en première instance, au-delà de l'acquittement plaidé. La fixation de cette dernière doit toutefois être revue au regard de l'acquittement partiel prononcé. Il y a concours entre deux infractions. La plus grave est l'infraction à l'art. 118 LEI pour laquelle une peine de base de 80 jours-amende sera fixée. Cette peine sera portée à 120 jours-amende pour tenir compte de l'infraction à l'art. 148a CP (peine hypothétique : 60 jours). Le montant du jour-amende, arrêté à CHF 60.-, est adéquat au regard de la situation financière de l'appelant. L'octroi du sursis et la durée du délai d'épreuve de trois ans, non contestés en appel, sont acquis à l'appelant (art. 391 al. 2 CPP).</w:t>
      </w:r>
    </w:p>
    <w:p>
      <w:r>
        <w:rPr>
          <w:b/>
        </w:rPr>
        <w:t>E. 4</w:t>
      </w:r>
    </w:p>
    <w:p>
      <w:r>
        <w:t>4.1.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obtention illicite de prestations d'une assurance sociale ou de l'aide sociale (art. 148a al. 1 CP).Conformément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L'application de l'art. 66a al. 2 CP doit se faire dans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L'art. 66a al. 2 CP définit une "Kannvorschrift",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Dans l'examen du cas de rigueur, il faut tenir compte des perspectives de réinsertion sociale du condamné (ATF 144 IV 332 consid. 3.3.1 et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w:t>
      </w:r>
    </w:p>
    <w:p>
      <w:r>
        <w:rPr>
          <w:b/>
        </w:rPr>
        <w:t>E. 4.2</w:t>
      </w:r>
    </w:p>
    <w:p>
      <w:r>
        <w:t>En l’espèce, l’appelant ne saurait se prévaloir sérieusement de la clause de rigueur. Il n'exerce une activité lucrative en Suisse que depuis huit mois et n'a pas démontré avoir développé des liens sociaux intenses dans ce pays. Sa compagne habite en France et ils ont prévu de s'installer en région frontalière. Il n'a pas de famille en Suisse. Son intégration demeure ainsi limitée et n’est en rien supérieure à une intégration ordinaire. Il ne peut dès lors pas être retenu qu’il se trouve dans une situation personnelle grave, d'autant qu'il n'y a aucun obstacle à ce qu'il vive dans son pays d'origine. Le prononcé de l’expulsion doit ainsi être confirmé tout comme sa durée de cinq ans, qui apparait conforme et proportionnelle.</w:t>
      </w:r>
    </w:p>
    <w:p>
      <w:r>
        <w:rPr>
          <w:b/>
        </w:rPr>
        <w:t>E. 4.3</w:t>
      </w:r>
    </w:p>
    <w:p>
      <w:r>
        <w:t>Il n'y a pas lieu d'étendre la mesure d'expulsion prononcée à l'ensemble de l'espace Schengen, le prévenu étant ressortissant d'un Etat membre.</w:t>
      </w:r>
    </w:p>
    <w:p>
      <w:r>
        <w:rPr>
          <w:b/>
        </w:rPr>
        <w:t>E. 5.1</w:t>
      </w:r>
    </w:p>
    <w:p>
      <w:r>
        <w:t>L'appel ayant été admis très partiellement, l'appelant supportera ¾ des frais de la procédure envers l'Etat (art. 428 CPP).</w:t>
      </w:r>
    </w:p>
    <w:p>
      <w:r>
        <w:rPr>
          <w:b/>
        </w:rPr>
        <w:t>E. 5.2</w:t>
      </w:r>
    </w:p>
    <w:p>
      <w:r>
        <w:t>L'infraction pour laquelle l'appelant a été acquitté n'a pas nécessité d'actes d'instruction séparés, le contexte de l'affaire étant le même dans la mesure où il s'est servi des faux certificats de travail et fiches de salaire pour obtenir indument des prestations de l'assurance-chômage. Il ne se justifie donc pas de revoir la répartition des frais de première instance.</w:t>
      </w:r>
    </w:p>
    <w:p>
      <w:r>
        <w:rPr>
          <w:b/>
        </w:rPr>
        <w:t>E. 6</w:t>
      </w:r>
    </w:p>
    <w:p>
      <w:r>
        <w:t>Aux termes de l'art. 51 CP, le juge impute sur la peine la détention avant jugement subie par l'auteur dans le cadre de l'affaire qui vient d'être jugée ou d'une autre procédure. Il découle de cette disposition que la détention avant jugement doit être imputée sur la peine, indépendamment du fait que celle-ci soit assortie du sursis ou non et qu'il s'agisse d'une peine pécuniaire ou privative de liberté. La question de l'indemnisation d'une détention injustifiée ne se pose en principe que si une imputation suffisante de cette détention sur une autre sanction au sens de l'art. 51 CP n'est plus possible. L'indemnisation financière est ainsi subsidiaire à l'imputation. L'intéressé n'a pas le droit de choisir entre ces deux voies (ATF 141 IV 236 consid. 3.3 ; arrêt du Tribunal fédéral 6B_671/2016 du 17 mai 2017 consid. 1.1). Au vu de ce qui précède, l'appelant doit être débouté de ses conclusions en indemnisation de la détention subie à tort (art. 429 al. 1 let. c CPP).</w:t>
      </w:r>
    </w:p>
    <w:p>
      <w:r>
        <w:rPr>
          <w:b/>
        </w:rPr>
        <w:t>E. 7</w:t>
      </w:r>
    </w:p>
    <w:p>
      <w:r>
        <w:t>Il n'y a pas lieu de revenir sur la confiscation et la dévolution à l'Etat des valeurs patrimoniales figurant sous chiffre 7 de l'inventaire n°2______du 29 septembre 2017 dès lors que celles-ci constituent le produit d'une infraction dont l'appelant a été reconnu coupable (art. 70 CP).</w:t>
      </w:r>
    </w:p>
    <w:p>
      <w:r>
        <w:rPr>
          <w:b/>
        </w:rPr>
        <w:t>E. 8.1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En l'occurrence, il convient de retrancher de l'état de frais de M e B______ le temps consacré à la lecture et examen du jugement rendu par le TP, la lecture des décisions étant comprises dans le forfait de 20%. Le précité facture 5h45 de préparation à l'audience d'appel. Ce temps de préparation, excessif à ce stade de la procédure, le dossier étant bien connu du conseil, peu complexe et l'audience n'ayant duré qu'1h05, sera réduit à 2h30 et facturé au tarif de CHF 110.-/heure, l'audience ayant été assurée par un avocat-stagiaire. En conclusion, la rémunération sera arrêtée à CHF 1'085.60 correspondant à 2h d'activité au tarif de CHF 200/heure (CHF 400.-), 3h35 au tarif de CHF 110.-/heure (CHF 394.17) plus la majoration forfaitaire de 20% (CHF 158.83), l'équivalent de la TVA au taux de 7.7% (CHF 77.62) et la vacation de CHF 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