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P/19964/2021 vom 22. Februar 2022</w:t>
      </w:r>
    </w:p>
    <w:p>
      <w:r>
        <w:t>GE Cour de justice, 2022-02-22, FR</w:t>
      </w:r>
    </w:p>
    <w:p>
      <w:r>
        <w:rPr>
          <w:b/>
        </w:rPr>
        <w:t xml:space="preserve">Quelle: </w:t>
      </w:r>
      <w:r>
        <w:t>https://mcp.opencaselaw.ch/entscheid/ge_gerichte_P_19964_2021</w:t>
      </w:r>
    </w:p>
    <w:p>
      <w:r>
        <w:t>FR: GE_GERICHTE P/19964/2021 du 22 février 2022</w:t>
      </w:r>
    </w:p>
    <w:p>
      <w:r>
        <w:t>IT: GE_GERICHTE P/19964/2021 del 22 febbraio 2022</w:t>
      </w:r>
    </w:p>
    <w:p>
      <w:pPr>
        <w:pStyle w:val="Heading2"/>
      </w:pPr>
      <w:r>
        <w:t>Regeste</w:t>
      </w:r>
    </w:p>
    <w:p>
      <w:r>
        <w:t>OBLIGATION D'ENTRETIEN;COMPENSATION DE CRÉANCES;ORDONNANCE DE NON-ENTRÉE EN MATIÈRE | CP.217; CP.52; CPP.310.al1.letc; CO.120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d'avoir refusé d'entrer en matière sur les faits dénoncés dans sa plainte. ![endif]&gt;![if&gt;</w:t>
      </w:r>
    </w:p>
    <w:p>
      <w:r>
        <w:rPr>
          <w:b/>
        </w:rPr>
        <w:t>E. 2.1</w:t>
      </w:r>
    </w:p>
    <w:p>
      <w:r>
        <w:t>Selon l'art. 310 al. 1 let. c CPP, le Ministère public rend immédiatement une ordonnance de non-entrée en matière lorsqu'il peut être renoncé à toute poursuite ou à toute sanction en vertu de dispositions légales (art. 310 al. 1 let. c cum art. 8 al. 1 CPP), notamment si la culpabilité de l'auteur et les conséquences de son acte sont peu importantes (art. 52 CP). ![endif]&gt;![if&gt; Aux termes de l'art. 52 CP,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4ème éd., 2019, n. 19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2.2</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pécuniaire.![endif]&gt;![if&gt;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6B_714/2019 du 22 août 2019 consid. 2.2; 6B_608/2017 du 12 avril 2018 consid. 4.1 et la référence citée).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La forme de la prestation doit être respectée (L. MOREILLON / A. PAREIN-REYMOND, Code de procédure pénale - Petit commentaire, 2ème éd., Bâle 2016, n. 15 ad art. 217 CP). Le débiteur n'est pas autorisé à payer directement les dettes du créancier car, ce faisant, il prive celui-ci de la somme sur laquelle il doit pouvoir compter pour assurer son train de vie quotidien (ATF 106 IV 37 , JdT 1981 IV 46; B. CORBOZ, Les infractions en droit suisse, vol. I, 3ème éd., Berne 2010, n. 17 ad art. 217 CP).</w:t>
      </w:r>
    </w:p>
    <w:p>
      <w:r>
        <w:rPr>
          <w:b/>
        </w:rPr>
        <w:t>E. 2.3</w:t>
      </w:r>
    </w:p>
    <w:p>
      <w:r>
        <w:t>Selon l'art. 120 al. 1 CO, lorsque deux personnes sont débitrices l'une envers l'autre de sommes d'argent, chacune des parties peut compenser sa dette avec sa créance, si les deux dettes sont exigibles. L'art. 125 ch. 2 CO exclut, sauf accord du créancier, la compensation des créances dont la nature spéciale exige le paiement effectif entre les mains du créancier, telles que les aliments absolument nécessaires à l'entretien du débiteur ( recte : créancier) et de sa famille. ![endif]&gt;![if&gt;</w:t>
      </w:r>
    </w:p>
    <w:p>
      <w:r>
        <w:rPr>
          <w:b/>
        </w:rPr>
        <w:t>E. 2.4</w:t>
      </w:r>
    </w:p>
    <w:p>
      <w:r>
        <w:t>En l'espèce, il est établi que le recourant n'a pas versé à son épouse l'intégralité des pensions alimentaires dues selon l'arrêt de l'autorité civile d'appel du 9 juin 2017 pour les mois d'avril 2021 et de juillet à novembre 2021. Le manque ainsi créé pour la recourante se chiffre à CHF 4'197.-.![endif]&gt;![if&gt; En outre, conformément à la jurisprudence rappelée ci-dessus, le mis en cause ne pouvait remplir son obligation alimentaire en s'acquittant de dettes qu'il estimait incomber à son épouse. Il pouvait encore moins compenser les versements y relatifs avec les contributions d'entretien, alors même que la créancière avait explicitement manifesté son refus à ce mode de procéder. Il importe peu de savoir qui est réellement débiteur, sur le plan civil, des charges en cause ni s'il se justifiait de résilier ou non le contrat de maintenance de la pompe à chaleur. On relèvera au surplus que la "facture de E______" ayant justifié les déductions des mois de juillet à novembre 2021 ne figure pas au dossier, de telle sorte qu'il n'est pas possible d'en connaître précisément la nature. A priori, les conditions de réalisation de l'infraction à l'art. 217 CP paraissent réunies, à l'instar de ce qu'a retenu le Ministère public, étant relevé que le dossier ne comporte pas d'éléments sur la situation financière actuelle du mis en cause. Sous l'angle de l'art. 52 CP, il faut relever qu'une éventuelle faute de B______ ne parait pas d'emblée de peu d'importance. Bien que connaissant la teneur du courrier de la recourante du 23 mars 2021, il a non seulement explicitement manifesté, par la voix de son conseil, son intention d'ignorer l'absence d'accord à la compensation pour la pension d'avril 2021, mais a également unilatéralement décidé d'opérer, durant les mois qui ont suivi, des déductions sur certaines des contributions d'entretien postérieures. Les conséquences de l'acte ne peuvent pas non plus être caractérisées, sans pondération, de faibles. Certes, les parties semblent adopter un train de vie confortable et s'affrontent dans le cadre d'une séparation. Toutefois, cela ne permet pas de conclure que le fait de priver la recourante, des mois durant, d'une partie d'une somme fixée par le juge civil constitue un acte sans conséquence pour elle. Le montant en cause, près de CHF 4'197.-, n'apparait par ailleurs pas insignifiant en comparaison de la contribution d'entretien de CHF 5'000.- que le mis en cause a été condamné à lui verser. Partant, le comportement reproché à B______ ne saurait être considéré comme étant manifestement en deçà des cas typiques de faits punissables revêtant la même qualification. Ainsi, en l'état de la procédure, l'application de l'art. 52 CP n'est pas admissible. Le Ministère public ne pouvait refuser d'entrer en matière sur les faits dénoncés dans la plainte de la recourante.</w:t>
      </w:r>
    </w:p>
    <w:p>
      <w:r>
        <w:rPr>
          <w:b/>
        </w:rPr>
        <w:t>E. 3</w:t>
      </w:r>
    </w:p>
    <w:p>
      <w:r>
        <w:t>Partant, le recours sera admis et la cause renvoyée au Ministère public. Il lui incombera de déterminer s'il entend mener une instruction ou renvoyer le prévenu en jugement. ![endif]&gt;![if&gt;</w:t>
      </w:r>
    </w:p>
    <w:p>
      <w:r>
        <w:rPr>
          <w:b/>
        </w:rPr>
        <w:t>E. 4</w:t>
      </w:r>
    </w:p>
    <w:p>
      <w:r>
        <w:t>L'admission du recours ne donne pas lieu à la perception de frais (art. 428 al. 1 CPP). Les sûretés versées seront restituées à la recourante. ![endif]&gt;![if&gt;</w:t>
      </w:r>
    </w:p>
    <w:p>
      <w:r>
        <w:rPr>
          <w:b/>
        </w:rPr>
        <w:t>E. 5</w:t>
      </w:r>
    </w:p>
    <w:p>
      <w:r>
        <w:t>La recourante, partie plaignante, conclut à l'octroi d'une indemnité de CHF 1'650.-, correspondant à 3h d'activité d'avocat à CHF 450.- l'heure et de 2h au tarif-horaire d'avocat-stagiaire de CHF 150.-. Cette indemnité parait justifiée et raisonnable vu le recours comportant neuf pages. Elle sera dès lors accordée en totalité, TVA en sus.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