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P/19958/2018 vom 6. Juli 2020</w:t>
      </w:r>
    </w:p>
    <w:p>
      <w:r>
        <w:t>GE Cour de justice, 2020-07-06, FR</w:t>
      </w:r>
    </w:p>
    <w:p>
      <w:r>
        <w:rPr>
          <w:b/>
        </w:rPr>
        <w:t xml:space="preserve">Quelle: </w:t>
      </w:r>
      <w:r>
        <w:t>https://mcp.opencaselaw.ch/entscheid/ge_gerichte_P_19958_2018</w:t>
      </w:r>
    </w:p>
    <w:p>
      <w:r>
        <w:t>FR: GE_GERICHTE P/19958/2018 du 6 juillet 2020</w:t>
      </w:r>
    </w:p>
    <w:p>
      <w:r>
        <w:t>IT: GE_GERICHTE P/19958/2018 del 6 luglio 2020</w:t>
      </w:r>
    </w:p>
    <w:p>
      <w:pPr>
        <w:pStyle w:val="Heading2"/>
      </w:pPr>
      <w:r>
        <w:t>Regeste</w:t>
      </w:r>
    </w:p>
    <w:p>
      <w:r>
        <w:t>IN DUBIO PRO REO | CP.180; CP.129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1.1</w:t>
      </w:r>
    </w:p>
    <w:p>
      <w:r>
        <w:t>Selon l'art. 428 al. 1, première phrase, CPP, les frais de la procédure de recours sont mis à la charge des parties dans la mesure où elles ont obtenu gain de cause ou succombé. 4.1.2. Dans la mesure où l'appelant obtient entièrement gain de cause, la totalité des frais de la procédure d'appel, en CHF 1'735.-, seront laissés à la charge de l'Etat. 4.2.1. Si l'autorité de recours rend elle-même une nouvelle décision, elle se prononce également sur les frais fixés par l'autorité inférieure (art. 428 al. 3 CPP). 4.2.2.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En l'espèce, comme vu supra les éléments de fait du dossier ne permettent pas d'établir à satisfaction de droit l'identité de l'auteur de la mise en danger de la vie d'autrui commise le 12 juin 2018, en particulier qu'elle aurait été commise par l'appelant. Il existe un doute sérieux à ce sujet, de sorte qu'en vertu du principe in dubio pro reo , l'appelant doit être mis au bénéfice de la version qui lui est la plus favorable, partant acquitté. Son appel sera par conséquent admis et le jugement du Tribunal de police réformé en ce sens qu'il sera acquitté du chef de mise en danger de la vie d'autrui.</w:t>
      </w:r>
    </w:p>
    <w:p>
      <w:r>
        <w:rPr>
          <w:b/>
        </w:rPr>
        <w:t>E. 2.3</w:t>
      </w:r>
    </w:p>
    <w:p>
      <w:r>
        <w:t>En l'espèce, vu l'acquittement de l'appelant du chef de mise en danger de la vie d'autrui et le maintien de sa condamnation pour infraction à la LStup, seuls 20% des frais de la procédure de première instance seront mis à sa charge, le reste, y compris l'émolument complémentaire de jugement de CHF 800.-, étant laissé à celle de l'Etat.</w:t>
      </w:r>
    </w:p>
    <w:p>
      <w:r>
        <w:rPr>
          <w:b/>
        </w:rPr>
        <w:t>E. 3</w:t>
      </w:r>
    </w:p>
    <w:p>
      <w:r>
        <w:t>3.1.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3.2</w:t>
      </w:r>
    </w:p>
    <w:p>
      <w:r>
        <w:t>En l'espèce, la boule saisie sur le chantier (inventoriée sous chiffre 4 de l'inventaire n° 3______ du 12 octobre 2018) doit être confisquée et détruite car elle a servi à la commission d'une infraction. Vu l'impossibilité de déterminer à qui appartiennent les boules découvertes chez l'appelant (chiffres 1 à 3 de l'inventaire précité), ce dernier n'en demandant d'ailleurs pas la restitution, leur confiscation et destruction sera confirmée.</w:t>
      </w:r>
    </w:p>
    <w:p>
      <w:r>
        <w:rPr>
          <w:b/>
        </w:rPr>
        <w:t>E. 5</w:t>
      </w:r>
    </w:p>
    <w:p>
      <w:r>
        <w:t>2. En l'espèce, vu son acquittement, les six jours de détention subis par l'appelant dans la présente procédure étaient injustifiés. Conformément à la jurisprudence, ils seront imputés sur la peine privative de liberté de six mois prononcée par le MP dans la procédure P/4______/2012, purgée en partie par l'appelant (peine restante de trois mois et dix jours).</w:t>
      </w:r>
    </w:p>
    <w:p>
      <w:r>
        <w:rPr>
          <w:b/>
        </w:rPr>
        <w:t>E. 5.1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141 IV 236 consid. 3.3 p. 239 ; 133 IV 150 consid. 5.1 p. 154 s.). La détention avant jugement doit être imputée sur la peine, indépendamment du fait que celle-ci soit assortie du sursis ou non et qu'il s'agisse d'une peine pécuniaire ou privative de liberté (ATF 141 IV 236 consid. 3.3 p. 239 ; 135 IV 126 consid. 1.3.6 p. 129).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p. 239 et les références).</w:t>
      </w:r>
    </w:p>
    <w:p>
      <w:r>
        <w:rPr>
          <w:b/>
        </w:rPr>
        <w:t>E. 6</w:t>
      </w:r>
    </w:p>
    <w:p>
      <w:r>
        <w:t>6.1. Selon l'art. 135 al. 1 CPP, le défenseur d'office est indemnisé conformément au tarif des avocats du canton du for du procès. En matière pénale, le tarif horaire est de CHF 110.- pour l'avocat stagiaire, CHF 150.- pour le collaborateur et CHF 200.- pour le chef d'étude (art. 16 du règlement sur l'assistance juridique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6.2</w:t>
      </w:r>
    </w:p>
    <w:p>
      <w:r>
        <w:t>L'activité consacrée aux conférences, audiences et autres actes de la procédure est majorée de 20% jusqu'à 30h de travail et de 10% au-delà,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l'occurrence M e B______ produit un état de frais qui apparaît excessif. Le temps consacré à l'étude du jugement de première instance (1h30), à la rédaction de la déclaration d'appel (2h54) ainsi qu'à la prise de connaissance de l'ordonnance de la CPAR et des observations du MP (6min), ne sera pas indemnisé, ces activités étant couvertes par le forfait pour activité diverses. Les 25h42 consacrées par le collaborateur à la rédaction du mémoire d'appel de 34 pages seront réduites à 18h, tandis que les 4h24 réalisées par le stagiaire pour ce même poste seront réduites à 2h, soit en tout environ deux jours et demi de travail, suffisants au vu du dossier de la présente cause. S'il est vrai que M e B______ s'est vu nommé d'office au stade de l'appel et que cela a pu engendrer une quantité de travail plus importante que s'il avait défendu son client dès le stade de l'instruction, il subsiste que la présente cause ne présente pas de difficulté particulière d'un point de vue juridique qui aurait nécessité des recherches spécifiques et que son volume ne justifie pas une activité d'une telle importance au titre de la rédaction du mémoire d'appel. En conclusion, l'indemnité sera arrêtée à CHF 3'594.- correspondant à 18h30 d'activité au tarif de CHF 150.-/heure (CHF 2'775.-) et 2h d'activité au tarif de CHF 110.-/heure (CHF 220.-), plus la majoration forfaitaire de 20% (CHF 599.-). M e B______ n'étant personnellement pas assujetti à la TVA, celle-ci ne lui sera pas versée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