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P/19874/2019 vom 7. Juni 2021</w:t>
      </w:r>
    </w:p>
    <w:p>
      <w:r>
        <w:t>GE Cour de justice, 2021-06-07, FR</w:t>
      </w:r>
    </w:p>
    <w:p>
      <w:r>
        <w:rPr>
          <w:b/>
        </w:rPr>
        <w:t xml:space="preserve">Quelle: </w:t>
      </w:r>
      <w:r>
        <w:t>https://mcp.opencaselaw.ch/entscheid/ge_gerichte_P_19874_2019</w:t>
      </w:r>
    </w:p>
    <w:p>
      <w:r>
        <w:t>FR: GE_GERICHTE P/19874/2019 du 7 juin 2021</w:t>
      </w:r>
    </w:p>
    <w:p>
      <w:r>
        <w:t>IT: GE_GERICHTE P/19874/2019 del 7 giugno 2021</w:t>
      </w:r>
    </w:p>
    <w:p>
      <w:pPr>
        <w:pStyle w:val="Heading2"/>
      </w:pPr>
      <w:r>
        <w:t>Regeste</w:t>
      </w:r>
    </w:p>
    <w:p>
      <w:r>
        <w:t>ORDONNANCE DE NON-ENTRÉE EN MATIÈRE;CONTRAINTE(DROIT PÉNAL);COMMANDEMENT DE PAYER;DROIT D'ÊTRE ENTENDU;CRÉANCE | CPP.310; CP.181; CPP.107</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d'une violation de son droit d'être entendu (art. 9 Cst et 107 al. 1 let. a CPP). À tort. De jurisprudence constante, le ministère public, avant de rendre une ordonnance de non-entrée en matière, n'a pas à en informer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 consid. 2.1.; 6B_93/2014 du 21 août 2014 et 6B_43/2013 du 11 avril 2013 consid. 2.1 et les références citées). La procédure de recours permet, en effet, aux parties de faire valoir tous leurs griefs – formels et matériels – auprès d'une autorité disposant d'une pleine cognition en fait et en droit (cf. art. 391 al. 1 et 393 al. 2 CPP; arrêts du Tribunal fédéral 6B_138/2021 du 23 septembre 2021 consid. 3.1; 6B_1007/2020 du 13 avril 2021 consid. 2.3.; 6B_1014/2020 du 10 février 2021 consid. 2.1.2; 6B_290/2020 du 17 juillet 2020 consid. 2.2; 6B_673/2019 du 31 octobre 2019 consid. 2.2; 6B_810/2019 du 22 juillet 2019 consid. 2.1). Aussi, le Ministère public ne devait pas donner la possibilité au recourant de s'exprimer sur les déclarations du prévenu à la police avant de rendre son ordonnance. Le grief invoqué est infondé.</w:t>
      </w:r>
    </w:p>
    <w:p>
      <w:r>
        <w:rPr>
          <w:b/>
        </w:rPr>
        <w:t>E. 3</w:t>
      </w:r>
    </w:p>
    <w:p>
      <w:r>
        <w:t>Le recourant reproche au Ministère public de ne pas être entré en matière sur sa plainte, en violation des art. 310 al. 1 let a CPP en lien avec les art. 181 CP, 5 al. 1 Cst, 2 al. 2, 319 al. 1 et 324 CPP.</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 Une non-entrée en matière s'impose également lorsque le litige est de nature purement civile (ATF 137 IV 285 consid. 2.3 p. 287 s.).</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 Certes, faire notifier un commandement de payer lorsqu'on est fondé à réclamer une somme est licite. En revanche, utiliser un tel procédé comme moyen de pression est clairement abusif, donc illicite (cf. ATF 115 III 18 consid. 3 p. 20 s., 81 consid. 3b p. 87 s.; arrêt 6B_70/2016 précité consid. 4.3.4).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l'envoi d'un commandement de payer d'une importante somme d'argent (arrêt du Tribunal fédéral 6B_1188/2017 du 5 juin 2018 consid. 3.1) constitue une menace d'un dommage sérieux. Le fondement de la créance invoquée, le montant indiqué sur le commandement de payer et le contexte de sa notification sont autant d'éléments pertinents dans l'appréciation des circonstances du cas d'espèce (cf. R. JORDAN, Les poursuites injustifiées: point de situation , in Revue de l'avocat 2017 p. 131 s. et les arrêts cités). Il peut suffire que la créance soit justifiée par un imbroglio entretenu par le débiteur autour de ses rapports contractuels ou lorsque la situation juridique n'est pas indiscutablement claire. Faire notifier un commandement de payer à l'organe de la partie adverse sans aucune raison laissant apparaître une créance directe à son encontre peut être illicite, à moins que le poursuivi admette que sa responsabilité pourrait être engagée comme administrateur (cf. R. JORDAN, Les poursuites injustifiées: point de situation , in Revue de l'avocat 2017 p. 131 s. et les arrêts cités).</w:t>
      </w:r>
    </w:p>
    <w:p>
      <w:r>
        <w:rPr>
          <w:b/>
        </w:rPr>
        <w:t>E. 3.3</w:t>
      </w:r>
    </w:p>
    <w:p>
      <w:r>
        <w:t>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3.4</w:t>
      </w:r>
    </w:p>
    <w:p>
      <w:r>
        <w:t>En application de ces principes,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est constitutive d'une tentative de contrainte (arrêt du Tribunal fédéral 6B_8/2017 du 15 août 2017 consid. 2.2; cf. également les faits à la base de l'arrêt du Tribunal fédéral 6S.853/2000 du 9 mai 2001). De même,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du 16 décembre 2016 consid. 2.3). Il en va également ainsi de la notification d'un commandement de payer de près de CHF 800'000.-, plus de 13 ans après les faits et sans démarches judiciaires parallèles (arrêt du Tribunal fédéral 6B_153/2017 du 28 novembre 2017 consid. 3.2.2). Faire l'objet d'un commandement de payer de CHF 176'250.- constitue, pour une personne de sensibilité moyenne, une menace d'un dommage sérieux au sens de la jurisprudence ( ACPR/468/2018 du 24 août 2018 consid. 3.3). À l'inverse, un commandement de payer portant sur un montant de CHF 44'895.35 n'est pas susceptible, objectivement, de constituer une entrave à la liberté d'action du poursuivi ; preuve en étaient ses oppositions et sa demande de non-divulgation des poursuites ( ACPR/825/2020 du 17 novembre 2020 consid. 5.6).</w:t>
      </w:r>
    </w:p>
    <w:p>
      <w:r>
        <w:rPr>
          <w:b/>
        </w:rPr>
        <w:t>E. 3.5</w:t>
      </w:r>
    </w:p>
    <w:p>
      <w:r>
        <w:t>À teneur de l'art. 55 CC, la volonté d'une personne morale s'exprime par ses organes (al. 1). Ceux-ci obligent la personne morale par leurs actes juridiques et par tous autres faits (al 2). Les fautes commises engagent, au surplus, la responsabilité personnelle de leurs auteurs (al. 3). La responsabilité personnelle n'existe que pour un acte illicite, non aussi pour la violation d'une obligation contractuelle (A. BRACONI/ B. CARRON/ S. GAURON-CARLIN, Code Civil Suisse et Code des Obligations annotés , Bâle 2020, ad art. 55 al. 3 CC)</w:t>
      </w:r>
    </w:p>
    <w:p>
      <w:r>
        <w:rPr>
          <w:b/>
        </w:rPr>
        <w:t>E. 3.6</w:t>
      </w:r>
    </w:p>
    <w:p>
      <w:r>
        <w:t>En l'espèce, seule la tentative de contrainte (art. 22 al. 1 cum 181 CP) pourrait entrer en considération, dès lors que le recourant a immédiatement fait opposition aux deux commandements de payer, refusant de s'acquitter des montants réclamés. Le moyen utilisé – soit l'envoi d'un commandement de payer – est conforme à la Loi fédérale sur la poursuite pour dettes et la faillite du 11 avril 1889 (LP; RS 281.1). Le recourant a fait l'objet de poursuites à titre personnel, en plus de celles intentées pour les mêmes créances à l'encontre de la société propriétaire de l'immeuble au moment où les travaux ont été exécutés, même s'il n'en était pas encore le gérant en 2016. Pour ne pas tomber sous le coup de la disposition pénale pertinente, le poursuivant devait, de bonne foi, avoir des raisons de penser que ses prétentions pouvaient être réclamées à A______ personnellement. À cet égard, B______ ne décrit pas précisément quels actes illicites auraient été commis par le recourant pour que sa responsabilité personnelle soit engagée. S'agissant de la somme de CHF 7'020.-, il admet que sa société était exclusivement liée contractuellement au locataire, lequel a validé le devis correspondant aux travaux devant être effectués. Il fonde toutefois sa prétention sur le fait que la régie a mandaté une entreprise tierce pour poser le compteur individuel, alors qu'il avait déjà entamé les travaux, lui causant ainsi un dommage. Il tient le recourant pour responsable, en sa qualité de représentant de l'ancienne société propriétaire. Quant à la seconde prétention, le poursuivant allègue que les travaux de grande envergure réalisés dans l'immeuble, plus particulièrement dans le restaurant I______, n'ont pas été payés. Il n'explique pas clairement qui les a commandés ni pourquoi le recourant en serait responsable, outre qu'il en connaissait l'existence. Il a toutefois été rendu vraisemblable que A______ détenait un rôle actif, antérieur à sa prise de fonction en septembre 2017, dans la gestion de l'immeuble. C'est d'ailleurs le recourant lui-même qui, de son propre aveu, a mis en contact le locataire et l'entreprise de construction, avec laquelle il avait des relations d'affaires en lien avec l'immeuble avant qu'il devienne gérant, lors desquelles il intervenait personnellement pour des questions de facturation. Si ces éléments ne sont pas nécessairement suffisants pour le rendre débiteur, à titre personnel, des prétentions réclamées, ils ont pu conforter le prévenu – qui est profane et qui agit sans conseil juridique – dans sa position selon laquelle il était légitimé à lui réclamer les montants en cause. À cela s'ajoute qu'aucune des personnes contactées par lui ne se considère débitrice des montants réclamés, pas même l'entreprise ayant bénéficié des travaux. Il a été systématiquement renvoyé à faire valoir ses prétentions auprès des autres intervenants, alors même qu'il n'est pas contesté que ses prestations ont été correctement et diligemment fournies ou interrompues contre sa volonté. Bien qu'à teneur du dossier, aucune action civile n'ait été déposée contre le recourant personnellement plus de deux ans après les faits, il n'est pas possible de conclure que B______ avait la volonté de s'en prendre à sa liberté au moment où il lui a fait notifier les commandements de payer. Dans de telles circonstances, on peut admettre que la situation juridique sur le plan civil n'est pas claire et que cette confusion est suffisante, voire a été entretenue par le recourant, pour exclure une volonté délictuelle. B______ a expliqué ne poursuivre aucun autre but que d'être payé pour les travaux réalisés et la réparation du dommage allégué, soulignant être enclin à trouver un accord avec lui. Il ne s'est pas opposé à la non-divulgation de la poursuite, précisant être déterminé à porter ses prétentions par-devant les juridictions civiles. La démarche n'est ainsi ni illicite ni un moyen de pression abusif et la tentative de contrainte doit ainsi être écartée. Au surplus, aucun acte d'instruction ne permettra de parvenir à une conclusion différente. En particulier, tant le plaignant que le mis en cause maintiendraient selon toute vraisemblance leur position lors d'une audience de confrontation. Faute de prévention pénale suffisante, l'ordonnance querellée ne prête pas le flanc à la critique et sera donc confirmée.</w:t>
      </w:r>
    </w:p>
    <w:p>
      <w:r>
        <w:rPr>
          <w:b/>
        </w:rPr>
        <w:t>E. 4</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