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P/19803/2014 vom 16. September 2015</w:t>
      </w:r>
    </w:p>
    <w:p>
      <w:r>
        <w:t>GE Cour de justice, 2015-09-16, FR</w:t>
      </w:r>
    </w:p>
    <w:p>
      <w:r>
        <w:rPr>
          <w:b/>
        </w:rPr>
        <w:t xml:space="preserve">Quelle: </w:t>
      </w:r>
      <w:r>
        <w:t>https://mcp.opencaselaw.ch/entscheid/ge_gerichte_P_19803_2014</w:t>
      </w:r>
    </w:p>
    <w:p>
      <w:r>
        <w:t>FR: GE_GERICHTE P/19803/2014 du 16 septembre 2015</w:t>
      </w:r>
    </w:p>
    <w:p>
      <w:r>
        <w:t>IT: GE_GERICHTE P/19803/2014 del 16 settembre 2015</w:t>
      </w:r>
    </w:p>
    <w:p>
      <w:pPr>
        <w:pStyle w:val="Heading2"/>
      </w:pPr>
      <w:r>
        <w:t>Regeste</w:t>
      </w:r>
    </w:p>
    <w:p>
      <w:r>
        <w:t>DÉCISION DE RENVOI ; MESURE THÉRAPEUTIQUE INSTITUTIONNELLE ; INTERNEMENT(DROIT PÉNAL) ; EXPERTISE ; MALADIE MENTALE ; MEURTRE ; TENTATIVE(DROIT PÉNAL) | CP.111; CP.56; CP.64.al1</w:t>
      </w:r>
    </w:p>
    <w:p>
      <w:pPr>
        <w:pStyle w:val="Heading2"/>
      </w:pPr>
      <w:r>
        <w:t>Erwägungen</w:t>
      </w:r>
    </w:p>
    <w:p>
      <w:r>
        <w:rPr>
          <w:b/>
        </w:rPr>
        <w:t>E. 1.1</w:t>
      </w:r>
    </w:p>
    <w:p>
      <w:r>
        <w:t>Un arrêt de renvoi du Tribunal fédéral lie l'autorité cantonale à laquelle la cause est renvoyée, qui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et les références citées).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été déjà jugé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(arrêt du Tribunal fédéral 5A_456/2016 du 28 octobre 2016 consid. 1.2). Ce principe connaît toutefois une exception pour des points qui n'ont pas été attaqués ou ne l'ont pas été valablement, mais qui sont intimement liés à ceux sur lesquels le recours a été admis (ATF 117 IV 97 consid. 4b p. 104 ss.).</w:t>
      </w:r>
    </w:p>
    <w:p>
      <w:r>
        <w:rPr>
          <w:b/>
        </w:rPr>
        <w:t>E. 1.2</w:t>
      </w:r>
    </w:p>
    <w:p>
      <w:r>
        <w:t>La condamnation de l'appelant pour tentative de meurtre et infractions à l'art. 19 al. 1 et 19a ch. 1 LStup, à une peine privative de liberté de huit ans sous déduction de la détention avant jugement, ainsi qu'à une amende de CHF 200.-, est définitive et exécutoire. La juridiction d'appel a été invitée par le Tribunal fédéral à examiner, d'une part si les infractions susceptibles d'être commises à nouveau sont couvertes par le catalogue de l'art. 64 al. 1 CP, d'autre part, si le risque de récidive est hautement vraisemblable et, en outre, si les principes de subsidiarité et de proportionnalité sont respectés (art. 56 al. 1 et 2 CP).</w:t>
      </w:r>
    </w:p>
    <w:p>
      <w:r>
        <w:rPr>
          <w:b/>
        </w:rPr>
        <w:t>E. 2</w:t>
      </w:r>
    </w:p>
    <w:p>
      <w:r>
        <w:t>2.1.1.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2.1.2. L'internement fondé sur l'art.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L'appréciation de l'atteinte doit être objective et tenir compte du principe de la proportionnalité. L'aspect subjectif du sentiment de la victime n'entre pas en considération (arrêt du Tribunal fédéral 6B_1071/2009 du 22 mars 2010 consid. 3.1.1). La tentative de commettre un des crimes visés par l'art. 64 CP suffit pour permettre le prononcé de la mesure d'internement (arrêt du Tribunal fédéral 6B_1187/2015 du 12 septembre 2016 consid. 5.1 et la référence citée).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(arrêt du Tribunal fédéral 6B_346/2016 du 31 janvier 2017 et références citées).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La notion "d'infraction du même genre" se rapporte uniquement à celles énumérées à l'art. 64 al. 1 CP et non, par exemple, aux infractions patrimoniales. En d'autres termes, le juge devra tenir compte dans l'émission de son pronostic uniquement du risque de commission d'infractions graves contre l'intégrité psychique, physique ou sexuelle (ATF 137 IV 59 consid. 6.3 et références citées ; ATF 135 IV 49 consid. 1.1.2.1).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du 29 juin 2005 relatif à la modification du code pénal dans sa version du 13 décembre 2002 et du code pénal militaire dans sa version du 21 mars 2003, FF 2005 p. 4445). Il incombe au juge d'ordonner l'internement lorsque l'appréciation d'ensemble de ces éléments aboutit à un pronostic si défavorable que le risque d'une récidive apparaisse hautement vraisemblable (arrêts du Tribunal fédéral 6B_1071/2009 du 22 mars 2010 consid. 3.1.2 et 6B_486/2009 du 28 octobre 2009 consid. 6.6). Diverses études relatives au rapport entre maladie mentale et dangerosité concluent en effet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"sains d'esprit", c'est-à-dire ne présenter aucun trouble défini par la psychiatrie. Dans ces conditions, il est justifié d'ordonner aussi l'internement d'un auteur mentalement sain en raison d'une infraction unique (arrêt du Tribunal fédéral 6B_789/2007 du 11 mars 2008 consid. 2.2.2 et les références citées). La let. b de l'art. 64 al. 1 CP codifie l'exigence d'un grave trouble mental issue de la jurisprudence. Selon celle-ci, 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Dès lors, seules certaines formes relativement lourdes d'anomalie mentale au sens médical peuvent être qualifiées d'anomalie mentale au sens juridique (arrêt du Tribunal fédéral 6B_789/2007 du 11 mars 2008 consid. 2.2.1 avec référence aux arrêts 6S.228/2000 du 10 juin 2000 consid. 3c et 6S.768/1999 du 29 janvier 2000 consid. 1a). En présence d'un trouble psychiatrique, l'internement fondé sur l'art. 64 al. 1 let. b CP constitue, conformément au principe de proportionnalité, une mesure subsidiaire par rapport à une mesure institutionnelle au sens de l'art. 59 CP. En tant qu' ultima ratio , en raison de la gravité de l'atteinte à la liberté personnelle qu'il représente (ATF 134 IV 121 consid.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et les références citées ; aussi ATF 134 IV 121 consid. 3.4.2). L'accessibilité de l'auteur à un traitement joue un rôle central dans le système des mesures,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l'art. 59 al. 3 CP doit, en effet, offrir les mêmes garanties, de ce point de vue, que l'internement (ATF 134 IV 315 consid. 3.2). Le seul fait que l'intéressé soit désireux de et apte à suivre un traitement institutionnel ne suffit pas à éviter l'internement ou son maintien (arrêt du Tribunal fédéral 6B_206/2015 du 8 octobre 2015 consid. 3.1.3).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 arrêts du Tribunal fédéral 6B_92/2010 du 30 mars 2010 consid. 1.2, 6B_206/2015 du 8 octobre 2015 consid. 3.1.3 et 6B_1307/2015 du 9 décembre 2016).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6B_1269/2015 du 25 mai 2016 consid. 3.2, 6B_1307/2015 du 9 décembre 2016 consid. 4.1.3 et 6B_954/2016 du 28 septembre 2017, consid. 1.1.2). Pour certains auteurs, l'art. 64 al. 1 let. b CP n'a aucune signification propre, mais constitue un cas d'exemple de la clause générale prévue à l'art. 64 al. 1 let. a CP (M. DUPUIS / L. MOREILLON / C. PIGUET / S. BERGER / M. MAZOU / V. RODIGARI [éds], Code pénal - Petit commentaire , 2 e éd., Bâle 2017, note 15 ad art. 64 CP et références citées). Selon le Tribunal fédéral, l'art. 64 al. 1 let. b CP codifie l'exigence de grave trouble mental issue de la jurisprudence rendue sous l'empire de l'art. a43 CP (arrêt 6B_789/2007 du 1 mars 2008 consid. 2.2.2 et les références citées). Le traitement institutionnel de l'art. 59 CP est la "seule échappatoire" à l'internement, dans une série de situations (art. 65, 64b al. 1 let. b CP). Cette échappatoire, réservée aux cas psychiatriques, ne connaît pas l'équivalent pour les cas non psychiatriques de l'art. 64 CP (R. ROTH, Mesures de sûreté et nouveau droit : confirmations, évolution et paradoxes , RPS 126/2008 p. 243). 2.1.3. En matière de pronostic, le principe in dubio pro reo ne s'applique pas (arrêt du Tribunal fédéral 6B_954/2016 du 28 septembre 2017, consid. 1.1.3 et références citées). 2.1.4.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2.1.3 p. 53 = SJ 2017 I 1 ; ATF 141 IV 369 consid. 6.1 et les références ; ATF 138 III 193 consid. 4.3.1 p. 198 s. ; ATF 133 II 384 consid. 4.2.3 ; arrêts du Tribunal fédéral 6B_346/2016 du 31 janvier 2017 consid. 3.2 ; 6B_289/2016 du 28 décembre 2016 consid. 4.1.3). Tel peut être le cas si l'expert n'a pas répondu aux questions posées, si ses conclusions sont contradictoires ou si, de toute autre façon, l'expertise est entachée de défauts à ce point évidents et reconnaissables, même sans connaissances spécifiques, que le juge ne pouvait tout simplement pas les ignorer (arrêt du Tribunal fédéral 6B_353/2016 du 30 mars 2017 consid. 5.1). La nécessité d'une nouvelle expertise dépend ainsi d'une appréciation de celle versée au dossier et des autres éléments de preuves (arrêts du Tribunal fédéral 6B_136/2016 du 23 janvier 2017 consid. 1.1.2 et les références ; 6B_986/2015 du 23 août 2016 consid. 3.2 in fine et les références).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 du Tribunal fédéral 6B_346/2016 du 31 janvier 2017, consid. 3.2 et les références citées). 2.2.1. L'expertise psychiatrique de même que son addendum, discutés par les experts en audience, s'avèrent cohérents et complets. Ils ne sont au demeurant critiqués par aucune des parties. Il n'y a pas lieu de s'en écarter. 2.2.2. Il n'est pas contesté ni contestable que l'appelant souffre d'un grave trouble mental chronique, soit d'un trouble mixte de la personnalité, présent de manière chronique et d'intensité sévère, diagnostiqué par les Drs D______ et E______ dans leur expertise du 22 avril 2015 et confirmé dans leur complément d'expertise du 3 juillet 2107. Les caractéristiques qu'il présente correspondent à plusieurs sous-types sans qu'il soit possible de déterminer celui qui prévaut en l'état, à savoir des traits paranoïaques, dyssociaux, d'irresponsabilité – soit une tendance très nette à remettre la responsabilité de ses actes sur les autres, de même qu'une bonne partie des manquements de sa vie –, narcissiques et immatures. L'expertise de 2010 du Dr F______ avait retenu un trouble de personnalité dyssociale, particulièrement grave, devant être assimilé à un grave trouble mental. Il correspondait sur le plan psychologique à un diagnostic de psychopathie. Aux dires des experts, tant le grave trouble mental chronique présent chez l'appelant que les caractéristiques de sa personnalité, les circonstances dans lesquelles il a agi et son vécu sont en lien de causalité directe avec la tentative de meurtre. Conformément à l'arrêt du Tribunal fédéral du 31 janvier 2017, les experts ont complété leurs observations quant au risque de récidive, qu'ils ont qualifié d'élevé s'agissant d'agressions contre l'intégrité corporelle d'autrui. La tentative de meurtre a marqué aux dires des experts une rupture franche avec les comportements hétéro-agressifs passés, présents tôt dans la vie de l'appelant, dans l'émergence d'une violence plus destructrice. Les six coups de couteau portés, au résultat potentiellement mortel, ne peuvent selon eux s'expliquer sans parler de la dimension d'impulsivité comportementale, soit de cette perte de contrôle de lui-même, un instant du moins, pour laisser s'exprimer une rage qu'il contenait jusque-là, pouvant expliquer son acharnement sur une personne sans défense. Cet aspect de la personnalité de l'expertisé est, aux dires des experts, particulièrement préoccupant et central dans l'évaluation du risque de récidive de mise en danger de la vie d'autrui dans des actes hétéro-agressifs dirigés et semble s'être à nouveau révélé lors des deux incidents en prison, l'ayant opposé à un codétenu puis à des gardiens, au cours desquels il aurait pu être pareillement submergé par la colère et aurait perdu le contrôle de lui-même. La Dresse G______, qui l'a vu à la prison de ______ après ces altercations, a permis de donner une illustration de son état psychologique dans des conditions présentant des caractéristiques communes avec celles de la tentative de meurtre, A______ semblant ainsi littéralement envahi par cette perception paranoïaque et ne parvenant par moments plus à prendre de recul ou se laissant submerger par son agressivité. Sa tendance à percevoir autrui comme dangereux, menaçant, mais également néfaste et déterminé à lui faire du mal est caractéristique de la problématique paranoïaque, élément toujours présent. D'autres aspects de sa personnalité peuvent aux dires des experts être pris en compte pour expliquer le passage à l'acte. Si A______ reste enfermé dans une vision du monde où il est une victime, réagissant aux agressions extérieures et n'endossant pas pleinement la responsabilité morale de son geste, il semblerait avoir conscience de sa difficulté à éprouver de l'empathie vis-à-vis de sa victime, tout en se retranchant derrière le fait qu'il considère qu'elle a eu un comportement provocant à son égard et était armée, représentant de ce fait un grave danger pour sa personne. Il reconnait toutefois s'être " déchaîné " contre elle et avoir " donné des coups mais qu'il ne sentait pas et donc ne pouvait pas sentir leurs effets sur elle ". Le fait qu'il résume la tentative de meurtre comme étant " un accident, une chose qui n'aurait jamais dû arriver ", n'en manifeste pas moins une banalisation inquiétante, comme relevé par les experts, et souligné par la CPAR. La dimension d'impulsivité a été relativisée par les experts lors de leur audition devant la CPAR après qu'ils ont eu connaissance de la découverte dans la cellule de l'appelant de deux objets de la vie courante, une fourchette et une lame de rasoir, transformés en armes, démontrant selon eux une certaine préméditation. Les déclarations de l'appelant s'agissant de l'usage de la fourchette aux fins de se curer les dents et de l'ignorance de la présence d'une lame de rasoir modifiée sous le lavabo d'une cellule qu'il occupait depuis trois ou quatre mois laissent perplexes et illustrent s'il en était encore besoin sa tendance à faire porter à autrui la responsabilité de ses propres actes ou à les minimiser à l'extrême, étant rappelé qu'il ne s'agit pas là des seuls comportements problématiques et empreints de violence qu'il y a eu à déplorer, en grand nombre à la prison de ______, puis une fois, en mai 2017, dans l'établissement fermé de ______. Le fait que A______ ne soit pas capable d'éviter d'avoir recours à des comportements agressifs, même dans un milieu carcéral pourtant régi par des règles très strictes, bien connues de lui, alors qu'il est en plein processus de réévaluation d'une mesure d'internement et dispose d'un accès à des soins de nature psychothérapeutique, souligne aux dires des experts ses importantes difficultés à inhiber ses caractéristiques agressives intrinsèques. Ces derniers ont précisé lors de leur audition devant la CPAR ce risque de nouveau passage à l'acte dans une configuration qui serait la même que celle prévalant en octobre 2014, tenant compte du mode de vie de l'appelant, à savoir une bagarre au cours de laquelle il perdrait le contrôle et infligerait des lésions dont la gravité dépendrait de la " grande part d'inconnue " de son issue. Ainsi, pour répondre à la question laissée ouverte par le Tribunal fédéral, il existe bien aux dires des experts, conclusion étayée et fondée que la CPAR fait sienne, un risque de récidive hautement vraisemblable – le degré " élevé " ou " sévère " du langage psychiatrique étant le plus sérieux, lié aux infractions susceptibles de justifier un internement, soit contre la vie et l'intégrité corporelle. 2.2.3. Les experts nuancent leurs premières conclusions, percevant une évolution, très limitée toutefois, chez l'appelant, soit une légère amélioration sur sa propre perception de son vécu émotionnel qui serait la conséquence de plusieurs facteurs, dont le début de prise en charge psychothérapeutique et plus certainement le cadre carcéral donnant à A______ l'occasion et le temps de réfléchir à sa situation. Considérant la possibilité d'un traitement psychothérapeutique, l'appelant a décrit un certain bénéfice aux entretiens avec la psychologue I______ avec laquelle il s'est ouvert en particulier de ses difficultés de contrôle et a voulu analyser certaines difficultés rencontrées en prison. Bien que les dix entretiens n'aient pas permis d'éviter les troubles du comportement rencontrés en prison, cette ouverture devant un thérapeute de ses difficultés semble aux experts être un changement à ne pas négliger, venant s'ajouter à la description plus précise des circonstances de l'agression de B______ dont il n'avait jamais parlé auparavant. À teneur de l'expertise d'avril 2015, il n'existait pas de traitement susceptible de diminuer conséquemment le risque de récidive, l'appelant ayant par le passé bénéficié de multiples prises en charge, notamment psychiatriques, lesquelles avaient toutes échoué. Tel n'est plus l'avis des experts psychiatres qui concluent, plus de deux ans plus tard, à la possibilité d'un traitement médical, de nature institutionnelle, à même de diminuer le risque de récidive élevé, comprenant des actes hétéro-agressifs à l'instar notamment de la tentative de meurtre du 10 octobre 2014. Si la composante dyssociale du trouble de la personnalité de l'appelant ne répond effectivement pas ou peu aux traitements psychiatriques actuels, il pourrait en aller différemment des caractéristiques impulsives et de perte de contrôle (capacité d'inhibition). Bien qu'il faille selon eux, à teneur du rapport complémentaire du 3 juillet 2017 attendre un travail thérapeutique de " très longue durée ", eu égard au grave trouble de personnalité et que l'issue de ce travail thérapeutique spécifique " demeure à ce point incertaine ", une mesure thérapeutique en milieu fermé, au sens de l'art. 59 al. 3 CP est préconisée, dans un établissement tel que Curabilis ou aux établissements de la Plaine de l'Orbe. Interrogés devant la CPAR sur les chances de succès d'une mesure fondée sur l'art. 59 CP, dans le délai de cinq ans, les experts ont répondu " Ces approches possibles sur le plan thérapeutique permettraient peut-être une évolution de la structure psychique, sans garantie à long terme. Il s'agissait en tout cas et évidemment de thérapie à très long terme , en milieu fermé, allant bien au-delà de cinq ans (…) Comme ils avaient jusqu'à présent constaté nombres d'épisodes hétéro-agressifs en prison, il serait possible de voir dans les prochaines années l'effet d'une mesure sur ce genre de comportement " (la CPAR souligne). La CPAR, en application de la jurisprudence rappelée supra retire de ces constatations des experts qu'il n'est en l'espèce pas suffisamment vraisemblable qu'un traitement institutionnel entraîne, dans les cinq ans de sa durée normale, une réduction nette du risque que l'intéressé commette, en raison de son trouble mental, un crime prévu à l'art. 64 CP. On se trouve donc dans le cas d'une " possibilité vague d'une diminution du risque ou l'espoir d'une diminution seulement minimale de ce risque ", lesquels ne sont pas suffisants pour prononcer une mesure fondée sur l'art. 59 CP (cf. ATF 134 IV 315 consid. 3.4.1 ; également arrêt du Tribunal fédéral 6B_92/2010 du 30 mars 2010 consid. 1.2). 2.2.4. A la question de savoir si l'acte punissable reproché – et visé par l'art. 64 CP – au prévenu était en rapport avec un trouble mental chronique ou récurrent, les experts ont répondu affirmativement lors de l'audience devant la CPAR le 2 octobre 2017 (cas de figure écarté par la CPAR dans son premier arrêt au vu de la réponse négative des experts dans leur rapport d'avril 2015). A celle de savoir si ledit acte est en rapport avec son état mental, les experts ont également répondu par l'affirmative (complément d'expertise, p. 18). Les actes reprochés à l'appelant sont en relation directe avec son trouble de la personnalité, en particulier sa composante dyssociale. Le prévenu agit de la sorte en raison de son fonctionnement psychique marqué par une absence de limites et de repères. Il sied de rappeler qu'il se montrait il y a encore quelques mois réfractaire à toute prise en charge, qui pourrait l'amener à une certaine prise de conscience de son mécanisme psychique, lequel est à l'origine notamment de la dernière infraction extrêmement grave qu'il a commise. Il demeure anosognosique de son état psychique, ce qui est confirmé par les deux épisodes en prison où il détenait des objets transformés en armes pour lesquels il dénie encore toute volonté d'usage pour des actes de violence. S'agissant de sa réelle motivation dans une prise en charge psychothérapeutique, il ne faut pas oublier les déclarations de l'appelant en première instance, considérant ces consultations comme une récréation lui permettant de sortir de sa cellule, et non pas comme une étape nécessaire en vue de comprendre son fonctionnement psychique. Cette mécompréhension de l'utilité d'un tel suivi a été confirmée par l'usage que l'appelant avait su en faire, dans un passé pas si éloigné, en sollicitant par deux fois une psychiatre de la prison, se disant en situation de crise, pour obtenir la remise d'un anxiolytique ( Tranxilium ), d'un neuroleptique ( Seroquel ) et d'un antidépresseur ( Remeron ), destinés en quasi totalité à un trafic auquel il avait admis s'être livré en faveur d'autres détenus, pour obtenir des CD de musique. Ceci démontrait encore en tant que de besoin que, comme relevé par les experts, l'appelant sait s'adapter au monde carcéral et trouve à s'y recréer un mode de vie qui le rend supportable, voire confortable. Ainsi, à ce jour, le prévenu présente un danger pour la sécurité publique. Le risque de récidive élevé pour des infractions contre la vie et l'intégrité corporelle ne peut être pallié par une mesure institutionnelle, en l'état vouée à l'échec, comme retenu supra , de sorte qu'un internement se justifie. Seule cette dernière mesure est envisageable dès lors qu'il n'y a aucun espoir que l'appelant, qui demeure dans le déni et persiste à se présenter comme une victime, puisse dans les cinq ans changer son mode de fonctionnement pour réduire le risque de récidive. Eu égard au pronostic qui est très sombre et aux actes déjà commis et même si la peine privative de liberté prononcée est d'une certaine durée, la sécurité publique doit primer, de sorte qu'une mesure d'internement au sens de l'art. 64 al. 1 CP doit être prononcée. 2.2.5. Si une telle mesure reposait à teneur du rapport d'expertise d'avril 2015 sur l'art. 64 let. a CP, en l'absence d'un grave trouble mental chronique, soit la solution retenue par la CPAR dans son arrêt partiellement annulé par le Tribunal fédéral qui n'a implicitement pas remis en cause ce point, elle peut à teneur du complément d'expertise de juillet 2017 tout aussi bien intervenir en application de l'art. 64 let. b CP. Comme la conclusion des experts à cet égard est nouvelle, il semble possible de s'éloigner sur ce point du cadre défini implicitement par le Tribunal fédéral. En l'espèce, tant les conditions de l'art. 64 let. a que let. b CP sont réalisées. Il semblerait que décider d'un internement fondé sur l'art. 64 let. b CP soit plus favorable à l'appelant puisqu'il pourrait permettre, selon son évolution, le prononcé d'une mesure fondée sur l'art. 59 CP aux conditions de l'art. 65 CP, ce qui est conforme au principe de proportionnalité des mesures, question à laquelle la CPAR devait également répondre. Comme cette possibilité n'est à ce jour pas exclue à l'avenir aux dires des experts, la CPAR prononcera un internement fondé sur l'art. 64 let. b CP à l'encontre de l'appelant.</w:t>
      </w:r>
    </w:p>
    <w:p>
      <w:r>
        <w:rPr>
          <w:b/>
        </w:rPr>
        <w:t>E. 3</w:t>
      </w:r>
    </w:p>
    <w:p>
      <w:r>
        <w:t>L'appelant, qui succombe, supportera les frais de la procédure d'appel envers l'Etat consécutifs au renvoi du Tribunal fédéral, comprenant un émolument de CHF 2'000.- (art. 428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4.2.3.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 AARP/72/2017 consid. 2.3, à la suite de la décision de la Cour des plaintes du Tribunal pénal fédéral BB.2016.39 consid. 7.2).</w:t>
      </w:r>
    </w:p>
    <w:p>
      <w:r>
        <w:rPr>
          <w:b/>
        </w:rPr>
        <w:t>E. 4.3</w:t>
      </w:r>
    </w:p>
    <w:p>
      <w:r>
        <w:t>En l'occurrence, il convient en application de ces principes de retrancher de l'état de frais de M e L______, défenseur d'office, deux des trois conférences avec le client à la prison en septembre 2017. Dans la mesure où il n'est pas possible à teneur du relevé d'activité produit de déterminer qui du chef d'étude, du collaborateur ou du stagiaire a effectué deux des visites qui n'ont pas à être indemnisées, la CPAR retiendra, dans la situation la plus favorable au conseil de A______, une visite du chef d'étude, de 1h30, avec pour conséquence la non indemnisation des deux autres vacations à la prison en septembre 2017, en CHF 35.- pour le collaborateur, respectivement CHF 20.- pour l'avocat stagiaire, étant rappelé que c'est ce dernier montant que la CPAR applique aux vacations du stagiaire. Enfin, l'audience à la CPAR a duré 2h40, à raison de 1h30 pour le chef d'étude et de 1h10 pour la collaboratrice.</w:t>
      </w:r>
    </w:p>
    <w:p>
      <w:r>
        <w:rPr>
          <w:b/>
        </w:rPr>
        <w:t>E. 4.4</w:t>
      </w:r>
    </w:p>
    <w:p>
      <w:r>
        <w:t>En conclusion, l'indemnité sera arrêtée à CHF 3'221.55 correspondant à 4h30 d'activité au tarif de CHF 200.-/heure (CHF 900.-), 14h05 à celui de CHF 125.- (CHF 1'760.40) et 2h30 à celui de CHF 65.- (CHF 162.50), plus la majoration forfaitaire de 10% compte tenu de l'indemnisation intervenue en première instance et suite au premier arrêt de la CPAR, deux vacations à CHF 50.- (CHF 100.-) et trois à CHF 20.- (CHF 60.-) et l'équivalent de la TVA au taux de 8% en CHF 238.65.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