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P/19784/2016 vom 14. April 2020</w:t>
      </w:r>
    </w:p>
    <w:p>
      <w:r>
        <w:t>GE Cour de justice, 2020-04-14, FR</w:t>
      </w:r>
    </w:p>
    <w:p>
      <w:r>
        <w:rPr>
          <w:b/>
        </w:rPr>
        <w:t xml:space="preserve">Quelle: </w:t>
      </w:r>
      <w:r>
        <w:t>https://mcp.opencaselaw.ch/entscheid/ge_gerichte_P_19784_2016</w:t>
      </w:r>
    </w:p>
    <w:p>
      <w:r>
        <w:t>FR: GE_GERICHTE P/19784/2016 du 14 avril 2020</w:t>
      </w:r>
    </w:p>
    <w:p>
      <w:r>
        <w:t>IT: GE_GERICHTE P/19784/2016 del 14 aprile 2020</w:t>
      </w:r>
    </w:p>
    <w:p>
      <w:pPr>
        <w:pStyle w:val="Heading2"/>
      </w:pPr>
      <w:r>
        <w:t>Regeste</w:t>
      </w:r>
    </w:p>
    <w:p>
      <w:r>
        <w:t>VOL(DROIT PÉNAL);UTILISATION FRAUDULEUSE D'UN ORDINATEUR;IN DUBIO PRO REO;FIXATION DE LA PEINE;CONCOURS D'INFRACTIONS;PEINE COMPLÉMENTAIRE | CP.147; CP.139; CPP.382.al3; CP.110.al1; CP.47; CP.49.al1; CP.49.al2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A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 Cette solution retenue par le CPP est la conséquence du principe général de la succession juridique énoncé à l'art. 121 al. 1 CPP (L. MOREILLON/A. PAREIN-REYMOND et al. (éds.), Petit commentaire Code de procédure pénale , 2 ème éd., Bâle 2016, N 14 ad art. 382). 2.1.2. Selon l'art. 110 al. 1 CP, les proches d'une personne sont son conjoint, son partenaire enregistré, ses parents en ligne directe, ses frères et soeurs germains, consanguins ou utérins ainsi que ses parents, frères et soeurs et enfants adoptifs. Cette liste est exhaustive et doit être interprétée restrictivement (M. DUPUIS /L. MOREILLON et al. (éds.), Petit commentaire Code pénal, 2ème éd., Bâle 2017, N 6 ad art. 110 et les références citées). La doctrine a précisé, en lien avec l'art. 121 al. 1 CPP, que la notion de proche ne se confondait pas avec celle d'héritier. Les proches visés à l'art. 110 al. 1 CP sont tous des héritiers légaux (à l'exception des arrière-grands-parents), l'inverse n'étant cependant pas vrai. En effet, certains parmi les héritiers légaux ne sont nullement des proches et ne peuvent en conséquence se prévaloir de l'art. 121 al. 1 CPP, à l'instar de l'oncle, de la cousine ou du neveu du lésé. Il peut en aller de même de l'héritier institué (p.ex. une personne morale, un ami). Ces héritiers, en dépit du fait qu'ils ne sont pas assimilables à des «proches» au sens de l'art. 121 al. 1 CPP, ont certes valablement acquis les droits civils liés à leur statut d'héritier, mais ils ne pourront les faire valoir qu'en agissant devant le juge civil (CR CPP-JEANDIN/FONTANET, 2 ème éd., Bâle 2019, N 3 ad art. 121).</w:t>
      </w:r>
    </w:p>
    <w:p>
      <w:r>
        <w:rPr>
          <w:b/>
        </w:rPr>
        <w:t>E. 2.2</w:t>
      </w:r>
    </w:p>
    <w:p>
      <w:r>
        <w:t>En l'espèce, C______, partie plaignante, est décédé au cours de la procédure d'appel. Selon le courrier de son conseil du 10 janvier 2020, la masse successorale du défunt est constituée d'un unique héritier institué : H______. Dès lorsque l'association précitée ne fait pas partie des « proches » de C______ au sens de l'art. 110 al. 1 CP, elle ne saurait être admise à poursuivre la procédure d'appel (art. 382 al. 3 CPP). La qualité de partie à la procédure de la masse successorale de C______ doit ainsi être niée. Au vu de son absence de qualité de partie, les conclusions civiles déposées le 10 janvier 2020 seront déclarées irrecevables.</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L'art. 139 ch. 1 CP réprime le comportement de celui qui, pour se procurer ou procurer à un tiers un enrichissement illégitime, aura soustrait une chose mobilière appartenant à autrui dans le but de se l'approprier.</w:t>
      </w:r>
    </w:p>
    <w:p>
      <w:r>
        <w:rPr>
          <w:b/>
        </w:rPr>
        <w:t>E. 3.2</w:t>
      </w:r>
    </w:p>
    <w:p>
      <w:r>
        <w:t>. 2. A teneur de l'art. 147 al. 1 CP, est punissable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Le fait de s'approprier une carte de crédit ou de débit et de l'utiliser ensuite frauduleusement réalise, en concours réel, les infractions de vol au sens de l'art. 139 CP et d'utilisation frauduleuse d'un ordinateur (M. DUPUIS /L. MOREILLON et al. (éds.), Petit commentaire Code pénal, 2 ème éd., Bâle 2017, N 30 ad art. 147 ; CR CP II-GRODECKI, 1 ère éd., Bâle 2017, N 25 ad art.147). 3.3.1. En l'espèce, il est établi - et au demeurant non contesté par l'appelant -, que celui-ci a procédé au retrait de la somme totale de CHF 82'230.- sur le compte bancaire de C______ sur la période de janvier à octobre 2016, période durant laquelle le précité a été hospitalisé à plusieurs reprises, et que l'argent ainsi prélevé n'a jamais été retrouvé. L'appelant prétend avoir agi à la demande de son voisin, et avoir placé l'argent retiré dans le coffre-fort de ce dernier, ce que C______ a contesté. 3.3.2 . La crédibilitédes déclarations des deux parties est sujette à caution. En effet, d'une part, celles de C______ ne peuvent être considérées comme parfaitement fiables, compte tenu de la relative confusion dans ses différentes explications, attribuable à son âge avancé. La CPAR soulignera toutefois que C______ a toujours été catégorique sur le fait de n'avoir jamais autorisé ou demandé à l'appelant de procéder aux retraits litigieux. Il convient également de remettre en cause la véracité des déclarations de l'appelant, qui s'est contredit à plusieurs reprises au cours de la procédure. En effet, il a d'abord précisé que son voisin lui avait demandé de retirer son argent dans le but de le soustraire aux impôts, avant d'expliquer qu'il souhaitait en réalité le donner au couple. Il a également indiqué avoir de lui-même décidé de placer l'argent dans le coffre-fort de son voisin, avant d'affirmer que c'était ce dernier qui lui avait demandé de le placer à cet endroit. Il a enfin précisé avoir essayé de retirer différentes sommes au bancomat afin de tester la limite des retraits, avant d'indiquer que c'était C______ qui lui avait expliqué qu'il pouvait retirer au maximum CHF 10'000.- par mois. Dès lors qu'il n'est pas possible de se fonder avec certitude sur les déclarations de l'un ou de l'autre, il convient, comme l'a à juste titre retenu le TP, d'établir les faits à la lumière des autres éléments du dossier. 3.3.3. La CPAR ne juge pas crédible l'affirmation de l'appelant selon laquelle il aurait procédé aux retraits litigieux à la demande de C______. En effet, selon les premières déclarations de l'appelant, C______ ne lui a jamais donné clairement d'instruction sur le fait de prendre sa carte bancaire dans son coffre-fort pour retirer l'argent, et le placer dans celui-ci, l'appelant ayant admis avoir procédé de la sorte de lui-même. Or il paraît hautement invraisemblable, au vu des sommes en jeu, que C______ ne lui ait pas donné de consigne plus claire à ce sujet. Il est encore plus invraisemblable que l'appelant se soit contenté de présumer, voire d'imaginer la volonté de C______, sans jamais prendre la peine de s'en assurer auprès de lui ou de lui poser des questions au cours de ses visites. C______ ne disposait par ailleurs d'aucun intérêt à faire retirer le contenu de son compte bancaire pour le placer dans son coffre-fort, ce qui était plutôt dangereux, sa maison étant inhabitée pendant des mois en raison de ses hospitalisations. L'explication fournie par l'appelant en cours de procédure, selon laquelle C______ aurait agi ainsi dans le but de donner ces sommes d'argent au couple A/E______ n'est pas vraisemblable, dès lors qu'il lui aurait suffi de faire établir un testament en ce sens pour obtenir le même résultat, ce qui aurait d'ailleurs été particulièrement facile, puisqu'il avait justement rencontré un notaire à la même période dans le but de dresser une procuration en faveur de E______. Il ressort au surplus des éléments au dossier que C______ entretenait un certain sérieux dans la gestion de ses affaires, s'étant arrangé avec E______ pour qu'elle s'occupe de ses factures pendant son hospitalisation, et gardant un certain contrôle sur ces questions, puisque sa voisine se contentait de préparer les ordres de paiement avant de venir les lui faire signer. Il avait également fait faire des procurations sur ses comptes F______ ainsi qu'une procuration générale établie par un notaire en faveur de E______. On peine ainsi à comprendre pourquoi C______, qui mettait tant de soin au respect des formes s'agissant de ses affaires quotidiennes, n'aurait pas pris la peine d'agir de même s'il avait effectivement demandé à l'appelant de procéder à des retraits - pourtant bien plus importants que la gestion de simples factures - sur son compte bancaire. En effet, une procuration aurait facilement pu être établie en faveur de l'appelant, comme elle l'a été pour son épouse, et aurait au surplus grandement facilité la tâche - hypothétique - de celui-ci, dès lors qu'il aurait alors pu retirer l'ensemble des fonds du compte de son voisin en une seule fois, sans se soucier du respect des limites de retrait imposées par le bancomat. S'agissant toujours du respect des formes, il est enfin invraisemblable que l'appelant et son voisin n'aient pas vérifié ensemble le contenu du coffre-fort et signé une quittance afin d'attester des sommes prétendument présentes dans ledit coffre à la sortie de l'hôpital de C______. A cela s'ajoute encore le fait qu'il n'est pas cohérent que C______ se soit adressé à l'appelant à l'insu de son épouse, s'il avait réellement voulu faire retirer de l'argent de son compte. En effet, ce dernier aurait eu toutes les raisons de demander un tel « service » à E______, qui gérait l'ensemble de ses affaires administratives et financières, et qui bénéficiait de plusieurs procurations. Une telle demande n'aurait par ailleurs eu aucune raison de déranger cette dernière, puisqu'il ne s'agissait alors pas de donner de l'argent au couple, ce qu'elle refusait, mais simplement de le transférer du compte bancaire au coffre de C______, qui en serait alors resté propriétaire. La CPAR retiendra enfin que, s'il n'est effectivement pas interdit de placer une carte bancaire sous le tapis de sol de sa voiture, cette manière de procéder est cependant pour le moins particulière pour quelqu'un qui n'a rien à se reprocher. Il est en particulier difficile de comprendre pourquoi l'appelant aurait ressenti le besoin de cacher la carte - et les retraits - à son épouse, puisque comme il l'a déjà été rappelé, cette dernière n'avait aucune raison de s'opposer à un simple transfert d'argent du compte de C______ à son coffre-fort. Quant au fait que l'appelant ne se soit pas dissimulé au moment de retirer de l'argent au bancomat, il n'est pas pertinent en l'espèce. C______ n'avait pas de famille, il pouvait escompter qu'il était ainsi peu probable que quelqu'un découvre ses retraits, que ce soit du vivant, ou au décès du plaignant. On relèvera également la réaction de l'épouse de l'appelant après avoir pris connaissance des faits reprochés à ce dernier. Au vu de ce qui précède, il existe un faisceau d'indices convergents amenant la CPAR à la conviction, au-delà de tout doute raisonnable, que C______ n'a pas demandé à l'appelant de retirer de l'agent de son compte bancaire, mais que ce dernier a agi contre la volonté de son voisin, en s'emparant de sa carte bancaire et procédant à des retraits frauduleux. 3.3.4. Cela établi, il est encore nécessaire de déterminer si l'appelant s'est ou non approprié l'argent retiré du compte de C______. Il a affirmé de manière constante avoir placé les sommes retirées dans le coffre-fort de son voisin, et nié être impliqué dans leur disparition, prétendant que l'argent se trouvait encore dans le coffre le 5 octobre 2016, au moment où il y aurait déposé la dernière somme retirée. Ces allégations ne sont pas crédibles. En effet, aucun indice au dossier autre que les déclarations - fort peu fiables - de l'appelant ne tend à démontrer qu'il aurait effectivement placé les sommes d'argent retirées dans le coffre de C______. Il est peu vraisemblable que la somme ait disparu justement entre le 5 octobre, jour du dernier prélèvement, et le 24 octobre, jour de la perquisition, alors que de gros montants s'y trouvaient depuis des mois. Quand bien même l'argent y aurait effectivement été placé, il est nécessaire de relever qu'aucune trace d'effraction n'a été constatée sur place, ce qui implique que seule une personne en possession des clés du coffre, et connaissant son emplacement, aurait pu emporter l'argent. Or, en-dehors de C______, seul l'appelant connaissait l'emplacement exact de ce coffre (son épouse l'ignorant) et disposait des clés, qui ont été retrouvées dans le propre coffre-fort du couple. Il est dès lors hautement invraisemblable qu'un tiers ait pu emporter l'argent qui se serait par hypothèse trouvé dans le coffre-fort de C______. Il convient par ailleurs de relever qu'au moment de l'hospitalisation de C______, l'appelant avait particulièrement besoin d'argent, dès lors qu'il consommait des quantités importantes de cocaïne. L'analyse de ses conversations téléphoniques sur la période de fin octobre à décembre 2016 a en effet démontré qu'il achetait pour environ CHF 4'000.- par mois de cocaïne à son fournisseur, ce qu'il n'a d'ailleurs pas contesté. Les analyses des données rétroactives de son téléphone antérieures au mois d'octobre 2016, n'ont effectivement pas été versées au dossier. Il ressort toutefois du rapport de police y relatif que l'appelant et son fournisseur entretenaient une relation depuis une certaine durée, au vu de leurs habitudes, et du fait que le vendeur acceptait de faire crédit à l'appelant. Il ne saurait ainsi être retenu, comme l'allègue le conseil de l'appelant, que sa consommation de stupéfiants n'a été effective qu'entre fin octobre et décembre 2016, ce d'autant plus que son épouse a expliqué s'être elle-même rendu compte de cette consommation au mois de mai 2016. Au contraire de ce que prétend l'appelant, sa consommation mensuelle de stupéfiants n'a pas pu être financée par son salaire (de CHF 4'800.- net à l'époque) ni par des économies inexistantes. Elle ne pouvait par ailleurs pas non plus être financée par les quelques faibles prélèvements opérés jusqu'en septembre 2016 sur le compte bancaire qu'il partageait avec son épouse, ces prélèvements ne suffisant à l'évidence pas au vu de l'importance de sa consommation à tout le moins en octobre 2016. Enfin, l'hypothèse selon laquelle il aurait emprunté de l'argent à ses collègues est peu crédible, au vu des sommes en jeu, et n'est étayée par aucun élément du dossier. L'appelant avait dès lors un intérêt évident à conserver les sommes d'argent retirées du compte bancaire de C______ dans le but de financer l'achat de stupéfiants, qu'il ne pouvait assumer avec ses seuls revenus, ainsi qu'à toute autre fin. Cette première hypothèse est d'ailleurs corroborée par le fait que les prélèvements sur son propre compte bancaire se sont largement intensifiées à partir du 24 octobre 2016, jour de la découverte des faits, à partir duquel il n'a plus eu d'autre choix que de puiser dans son propre compte pour financer sa consommation. Le fait que la situation financière du couple ne se soit pas améliorée en 2016 n'est pas pertinent, puisque l'appelant a pu conserver l'argent soustrait des comptes de C______ à son propre profit, et sans en faire bénéficier sa famille, notamment - mais pas forcément uniquement - pour financer sa consommation de stupéfiants qui nécessitait un investissement de plusieurs dizaines de milliers de francs au vu de son intensité et de sa durée. Enfin, dans la mesure où il est établi que C______ n'a jamais demandé à l'appelant de procéder aux retraits, la seule explication logique est qu'il y a procédé dans son propre intérêt. 3.3.5. Au vu de l'ensemble de ce qui précède, la CPAR a acquis la conviction au-delà de tout doute raisonnable que C______ a dérobé la carte bancaire de C______ dans le but de se l'approprier et a utilisé celle-ci, sans l'accord de son voisin, afin d'effectuer des retraits sur son compte bancaire, s'appropriant ensuite l'argent obtenu sans droit. Il sera dès lors reconnu coupable de vol et d'utilisation frauduleuse d'un ordinateur, le jugement de première instance étant confirmé sur ce point.</w:t>
      </w:r>
    </w:p>
    <w:p>
      <w:r>
        <w:rPr>
          <w:b/>
        </w:rPr>
        <w:t>E. 4</w:t>
      </w:r>
    </w:p>
    <w:p>
      <w:r>
        <w:t>.1. Les infractions aux art. 139 ch. 1 CP et 147 al. 1 CP sont passibles d'une peine privative de liberté de cinq ans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4.3.1.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4.3.2.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 ATF 141 IV 61 consid. 6.1.2 p. 67 ).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 in LawInside, 31 août 2016, http://www.lawinside.ch/304/ [31.01.17]).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w:t>
      </w:r>
    </w:p>
    <w:p>
      <w:r>
        <w:rPr>
          <w:b/>
        </w:rPr>
        <w:t>E. 4.4</w:t>
      </w:r>
    </w:p>
    <w:p>
      <w:r>
        <w:t>Il sera fait application du nouveau droit des sanctions (art. 2 al. 2 CP), qui apparaît, en l'espèce, plus favorable à l'appelant dans le cadre de la fixation d'une peine pécuniaire globale (art. 49 al. 1 et 2 CP), qui ne peut dépasser les 180 unités (art. 34 CP). 4.5.1. En l'espèce, la faute commise par l'appelant est importante. Il a subtilisé la carte bancaire de son voisin, âgé, avec lequel il entretenait de bonnes relations. Alors que ce dernier, sujet à des problèmes de santé, était hospitalisé, il en a profité pour retirer des sommes d'argent importantes sur son compte bancaire, et ce, chaque mois, à la limite maximale de ce qui était possible. Seule son arrestation l'a contraint à mettre un terme à ses agissements. Sa collaboration a été mauvaise. S'il a admis avoir retiré les fonds litigieux, il a persisté à nier les avoir conservé à son profit, allant jusqu'à se référer à l'âge avancé du plaignant dans le but de mettre sa parole en doute. Sa prise de conscience est inexistante. Il n'a jamais exprimé de regrets, prétendant que l'argent avait disparu après qu'il l'ait eu placé dans le coffre-fort de son voisin. Compte tenu de ce qui précède, il se justifie de prononcer une peine pécuniaire pour chacune des infractions commises. 4.5.2. L'appelant a été condamné le 25 mars 2019 par le MP à une peine pécuniaire de 60 jours-amende à CHF 90.- l'unité, avec sursis pendant trois ans, et à une amende de CHF 1'080.-. pour délit contre la loi fédérale sur les armes et infraction à l'art. 95 al. 1 let. b LCR, soit après avoir commis les faits visés par la présente décision. Il convient dès lors de tenir compte des précédentes peines infligées (qui sont de même nature) pour fixer la peine complémentaire. Les infractions abstraitement les plus graves sont celles d'utilisation frauduleuse d'un ordinateur et de vol, qui, à elles seules, méritent une peine pécuniaire de 80 jours-amende pour la première, étendue à 120 jours-amende pour la seconde, ces deux infractions entrant en concours. Cette peine doit encore être étendue à 150 jours-amende, puis à 180 jours-amende afin de tenir compte des deux autres infractions commises et déjà jugées le 25 mars 2019. La peine pécuniaire globale est ainsi arrêtée à 180 jours-amende, desquels il convient de déduire la peine à laquelle l'appelant a été condamné par le MP pour fixer la peine complémentaire. Compte tenu de ce qui précède, la peine complémentaire de 120 jours-amende à CHF 30.- l'unité, sous déduction de deux jours de détention avant jugement, prononcée par le TP sera confirmée. Il sera toutefois souligné que cette peine est particulièrement clémente au vu des montants dérobés et de l'absence de prise de conscience de l'appelant. En l'absence d'appel du MP, elle ne peut toutefois être revue à la hausse. Le principe du sursis, dont les conditions sont au demeurant réalisées, lui est acquis (art. 391 al. 2 CPP).</w:t>
      </w:r>
    </w:p>
    <w:p>
      <w:r>
        <w:rPr>
          <w:b/>
        </w:rPr>
        <w:t>E. 5.1</w:t>
      </w:r>
    </w:p>
    <w:p>
      <w:r>
        <w:t>L'appelant, qui succombe, supportera les frais de la procédure d'appel, comprenant un émolument de CHF 1'500.- (art. 428 CPP et 14 al. 1 let. e du règlement fixant le tarif des frais en matière pénale du 22 décembre 2010 [RTFMP - E 4 10.03]). La mise à sa charge des frais de procédure de première instance sera également confirmée (art. 426 CPP).</w:t>
      </w:r>
    </w:p>
    <w:p>
      <w:r>
        <w:rPr>
          <w:b/>
        </w:rPr>
        <w:t>E. 5.2</w:t>
      </w:r>
    </w:p>
    <w:p>
      <w:r>
        <w:t>Pour cette même raison, l'appelant ne saurait prétendre à une quelconque indemnisation fondée sur l'art. 429 CPP, de sorte que ses prétentions seront rejetées, pour la procédure de première instance comme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