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P/19767/2021 vom 21. August 2023</w:t>
      </w:r>
    </w:p>
    <w:p>
      <w:r>
        <w:t>GE Cour de justice, 2023-08-21, FR</w:t>
      </w:r>
    </w:p>
    <w:p>
      <w:r>
        <w:rPr>
          <w:b/>
        </w:rPr>
        <w:t xml:space="preserve">Quelle: </w:t>
      </w:r>
      <w:r>
        <w:t>https://mcp.opencaselaw.ch/entscheid/ge_gerichte_P_19767_2021</w:t>
      </w:r>
    </w:p>
    <w:p>
      <w:r>
        <w:t>FR: GE_GERICHTE P/19767/2021 du 21 août 2023</w:t>
      </w:r>
    </w:p>
    <w:p>
      <w:r>
        <w:t>IT: GE_GERICHTE P/19767/2021 del 21 agosto 2023</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125 al. 1 et 2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2.2</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133 IV 158 consid. 5.1).</w:t>
      </w:r>
    </w:p>
    <w:p>
      <w:r>
        <w:rPr>
          <w:b/>
        </w:rPr>
        <w:t>E. 2.3</w:t>
      </w:r>
    </w:p>
    <w:p>
      <w:r>
        <w:t>Conformément à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al. 2 LCR). Le principe de la confiance, qui découle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ATF 120 IV 252 consid. 2d/aa p. 254 ; ATF 143 IV 500 consid. 1.2.4). Le principe de la confiance ne s'applique pas à l'égard des personnes visées par l'art. 26 al. 2 LCR (ATF 129 IV 282 consid. 2.2.1 p. 285 ; ATF 115 IV 239 consid. 2 p. 239 s. ; arrêt du Tribunal fédéral 6B_770/2017 du 11 janvier 2018 consid. 3.1).</w:t>
      </w:r>
    </w:p>
    <w:p>
      <w:r>
        <w:rPr>
          <w:b/>
        </w:rPr>
        <w:t>E. 2.4</w:t>
      </w:r>
    </w:p>
    <w:p>
      <w:r>
        <w:t>Aux termes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qui s'y engagent (al. 2). L'inobservation de ces prescriptions est une violation des règles de la circulation, punissable selon l'art. 90 LCR.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La " prudence particulière "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291/292 ; ATF 115 II 283 consid. 1a p. 285).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Le devoir de prudence du conducteur ne disparaît pas même à l'égard d'un piéton qui s'élance sur un passage piéton de manière contraire aux règles (arrêts du Tribunal fédéral 6B_250/2012 du 1 er novembre 2012 consid. 3.2.2 ; 6B_922/2008 du 2 avril 2009 consid. 3.4). La règle prescrite à l'art. 33 al. 2 LCR constitue en principe une règle fondamentale de la circulation, dont la violation tombe généralement sous le coup de l'art. 90 al. 2 LCR, sous réserve des circonstances concrètes du cas d'espèce (A. BUSSY / B. RUSCONI et al., Code suisse de la circulation routière : commentaire, 4 e éd., Lausanne 2015, N 2.9 ad. art. 33 ; arrêt du Tribunal fédéral 6S.265/22005 du 1 er décembre 2005).</w:t>
      </w:r>
    </w:p>
    <w:p>
      <w:r>
        <w:rPr>
          <w:b/>
        </w:rPr>
        <w:t>E. 2.5</w:t>
      </w:r>
    </w:p>
    <w:p>
      <w:r>
        <w:t>L'art. 49 al. 2 LCR prescrit que les piétons traverseront la chaussée avec prudence et par le plus court chemin en empruntant, où cela est possible, un passage pour piétons. Ils bénéficient de la priorité sur de tels passages, mais ne doivent pas s'y lancer à l'improviste.</w:t>
      </w:r>
    </w:p>
    <w:p>
      <w:r>
        <w:rPr>
          <w:b/>
        </w:rPr>
        <w:t>E. 2.6</w:t>
      </w:r>
    </w:p>
    <w:p>
      <w:r>
        <w:t>À teneur de l'art. 6 al. 1 OCR, avant d'atteindre un passage pour piétons où le trafic n'est pas réglé, le conducteur accordera la priorité à tout piéton (…) qui est déjà engagé sur le passage ou qui attend devant celui-ci avec l'intention visible de l'emprunter. Il réduira à temps sa vitesse et s'arrêtera, au besoin, afin de pouvoir satisfaire à cette obligation.</w:t>
      </w:r>
    </w:p>
    <w:p>
      <w:r>
        <w:rPr>
          <w:b/>
        </w:rPr>
        <w:t>E. 2.7</w:t>
      </w:r>
    </w:p>
    <w:p>
      <w:r>
        <w:t>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w:t>
      </w:r>
    </w:p>
    <w:p>
      <w:r>
        <w:rPr>
          <w:b/>
        </w:rPr>
        <w:t>E. 2.8</w:t>
      </w:r>
    </w:p>
    <w:p>
      <w:r>
        <w:t>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 arrêt du Tribunal fédéral 6B_69/2017 du 28 novembre 2017 consid. 2.3.2).</w:t>
      </w:r>
    </w:p>
    <w:p>
      <w:r>
        <w:rPr>
          <w:b/>
        </w:rPr>
        <w:t>E. 2.9</w:t>
      </w:r>
    </w:p>
    <w:p>
      <w:r>
        <w:t>En l'espèce, la plaignante se trouvait déjà aux abords du passage pour piétons avant que la prévenue ne s'y engage et elle était bien visible depuis la chaussée. En effet, la prévenue a eu le temps de voir la plaignante s'approcher dudit passage, se tourner de manière à faire face à la route et marquer un temps d'arrêt au ras de celle-ci. La plaignante arrivait d'ailleurs déjà au niveau du passage pour piétons alors que la prévenue n'était pas encore engagée dans l'intersection le précédant de sorte que cette dernière – ayant aperçu suffisamment tôt la présence d'une piétonne aux abords du passage pour piétons – aurait pu et dû ralentir, afin d'être en mesure de s'arrêter à temps afin de la laisser passer si nécessaire. En effet, une telle configuration commandait une prudence toute particulière de la conductrice. Le fait de rouler à la vitesse autorisée de 30 km/h n'était pas suffisant eu égard aux circonstances pour satisfaire à son devoir de prudence, étant relevé que la vitesse adoptée n'a manifestement pas permis d'éviter l'accident. L'appelante allègue que c'est le comportement de la plaignante, dont l'attention était portée exclusivement sur son téléphone portable, qui aurait causé l'accident, cette dernière s'étant élancée sur la chaussée alors que le véhicule était déjà trop proche du passage pour piétons pour pouvoir s'arrêter à temps. Or, à teneur des images de vidéosurveillance, bien que la plaignante porte son attention sur son téléphone, il n'apparaît pas qu'elle aurait couru ou aurait brusquement surgi pour s'engager sur la chaussée. Au contraire, elle est arrivée à la hauteur du passage pour piétons, s'est tournée face audit passage et a marqué un arrêt de sorte qu'elle était bien visible par la prévenue. Ainsi, quand bien même la plaignante s'est engagée en faisant preuve d'une certaine inattention, son comportement n'était pas si extraordinaire et imprévisible que l'appelante n'aurait pu s'y attendre, et n'a donc pas interrompu le lien de causalité. La faute, légère, de la piétonne ne saurait reléguer à l'arrière-plan la faute de la conductrice. Les fautes n'étant par ailleurs pas compensées en droit pénal, une inattention de la piétonne ne dispensait pas l'appelante de faire preuve de prudence aux abords du passage pour piétons. Au contraire, cette situation aurait commandé de rouler avec une prudence toute particulière et au besoin de s'arrêter en cas de doute sur les intentions de la plaignante qui – à suivre le raisonnement de la prévenue – usait d'un comportement inadéquat. Dans ces circonstances, elle n'est pas habilitée à invoquer l'art. 26 al. 1 LCR. À tort, elle a considéré que la piétonne n'allait pas s'engager alors que cette intention n'était pas objectivement reconnaissable et qu'elle a admis par ailleurs que la piétonne semblait distraite. Partant, la prévenue a manqué de prudence en ne s'approchant pas suffisamment lentement du passage pour piétons aux abords duquel il y avait un piéton dont elle ignorait les intentions et dont il n'apparaissait pas clairement – contrairement à ce qu'elle affirme – qu'il n'entendait pas traverser. Ainsi, la prévenue a violé le devoir de prudence qui lui incombait, découlant de l'art. 33 al. 2 LCR. Son manque de prudence relève d'une négligence. Si elle a manqué de distance pour pouvoir s'arrêter avant le heurt, c'est uniquement de sa faute car elle n'avait pas adapté sa vitesse aux circonstances. L'imprévoyance de la prévenue est en lien de causalité, naturelle et adéquate, avec la survenance de l'accident au cours duquel la plaignante a subi plusieurs lésions. Celles-ci ne sauraient être contestées au regard des certificats médicaux produits. En vertu ce qui précède, la culpabilité de la prévenue pour lésions corporelles par négligence sera confirmée, étant rappelé qu'une plainte pénale a été déposée en temps utile. De cette manière, la qualification des lésions corporelles, graves ou simples, n'est pas déterminante.</w:t>
      </w:r>
    </w:p>
    <w:p>
      <w:r>
        <w:rPr>
          <w:b/>
        </w:rPr>
        <w:t>E. 3.1</w:t>
      </w:r>
    </w:p>
    <w:p>
      <w:r>
        <w:t>L'infraction à l'art. 125 CP et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En l'espèce, la faute commise par la prévenue relève d'une infraction par négligence certes, mais son inattention et son manque de prudence aux abords d'un passage pour piétons ont créé un danger sérieux pour la sécurité du trafic et ont conduit à un accident, lors duquel la plaignante a été blessée. La prévenue a agi au mépris des règles de la circulation routière et négligé des règles élémentaires de prudence même si elle roulait à la vitesse autorisée et qu'elle a tenté une manœuvre d'évitement. Sa collaboration dans la procédure a été sans particularité. Sa prise de conscience fait défaut, celle-ci persistant à nier ses torts et à reporter la faute sur la plaignante. Néanmoins, à teneur des déclarations de cette dernière, elle l'aurait appelée à plusieurs reprises après l'accident pour lui présenter des excuses. Compte tenu de la situation personnelle de la prévenue et de l'absence d'antécédent, une peine pécuniaire entre en ligne de compte. La quotité de la peine, arrêtée à 30 jours-amende par l'instance inférieure, est conforme au droit et sera confirmée. Le montant du jour-amende, à CHF 30.-, est en adéquation avec la situation financière de la prévenue. L'octroi du sursis lui est acquis (art. 391 al. 2 CPP) et la fixation du délai d'épreuve à trois ans n'est pas critiquable.</w:t>
      </w:r>
    </w:p>
    <w:p>
      <w:r>
        <w:rPr>
          <w:b/>
        </w:rPr>
        <w:t>E. 4</w:t>
      </w:r>
    </w:p>
    <w:p>
      <w:r>
        <w:t>4.1. Conformément à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CPP).</w:t>
      </w:r>
    </w:p>
    <w:p>
      <w:r>
        <w:rPr>
          <w:b/>
        </w:rPr>
        <w:t>E. 4.2</w:t>
      </w:r>
    </w:p>
    <w:p>
      <w:r>
        <w:t>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4.3.1.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4.3.2.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4.3.3.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 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 ème éd., Bâle 2020, n. 20 ad art. 47 ; F. WERRO, op. cit., ch. 1447. ; A. GUYAZ, Le tort moral en cas d'accident : une mise à jour, SJ 2013 II 215, p. 242s.). 4.3.4.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 arrêt du Tribunal fédéral 6B_118/2016 du 20 mars 2017 consid. 6.1).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6.2.1 ; cf. O. PELET, Le prix de la douleur, in C. CHAPPUIS / B. WINIGER [éds], Le tort moral en question, 2013, p. 152).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La Chambre pénale d'appel et de révision (CPAR) a prononcé une indemnité de CHF 10'000.- en faveur d'une jeune femme d'une vingtaine d'années percutée par un véhicule, souffrant de séquelles aux jambes ayant pour effet qu'elle ne pouvait plus porter de talons et qu'elle gardait des cicatrices des interventions chirurgicales subies, ainsi qu'au moment du jugement une excroissance au niveau de la cuisse ( AARP/22/2015 du 12 janvier 2015 consid. 6.2). Dans un arrêt plus récent ( AARP/110/2023 du 10 mars 2023), la CPAR a arrêté à CHF 15'000.- l'indemnité pour tort moral d'un cycliste ayant subi, du fait de l'accident, une fracture des cervicales, ayant nécessité une intervention chirurgicale sans complications, un traumatisme crânien, une contusion interne duodéno-pancréatique, ainsi que des plaies superficielles à la tête, à l'oreille gauche, aux bras et aux mains. Après une hospitalisation de quelques jours, il avait dû porter une minerve pendant six semaines. Plus de trois ans après l'accident, il était encore limité dans ses activités puisqu'il ne pouvait plus porter de charges de plus de 5 kilogrammes, souffrait de pertes de mémoire et d'un état de stress post-traumatique chronique. Toutefois, il était âgé de 69 ans et ses blessures n'avaient ainsi aucun impact sur carrière professionnelle (consid. 3.2.4. et 5.4.1).</w:t>
      </w:r>
    </w:p>
    <w:p>
      <w:r>
        <w:rPr>
          <w:b/>
        </w:rPr>
        <w:t>E. 4.3</w:t>
      </w:r>
    </w:p>
    <w:p>
      <w:r>
        <w:t>En l'espèce, la partie plaignante est fondée à obtenir la réparation de son tort moral résultant de l'accident dont la responsabilité est pénalement imputable à la prévenue. Les lésions corporelles occasionnées à la plaignante sont établies par les rapports médicaux. Elle a subi, en substance, une fracture de la base du cinquième métatarsien du pied droit, plusieurs dermabrasions et contusions au niveau des membres supérieurs des deux côtés et du genou droit. La plaignante a ensuite développé une pseudarthrose consécutivement à sa fracture ainsi qu'une algodystrophie dont les conséquences sont "des douleurs persistantes et fortement handicapantes" à la moindre mobilisation du pied. Les différents spécialistes consultés ont mis en avant le fait que la patiente souffrait principalement de l'algodystrophie, laquelle engendrait une "récupération longue" de plusieurs mois, l'un d'eux précisant que ce syndrome pouvait se manifester "sur une période allant jusqu'à deux ans et parfois même au-delà". Depuis l'accident, ses douleurs avaient nécessité deux visites aux urgences, dont l'une avait entraîné une hospitalisation d'une nuit, et un suivi ambulatoire conséquent dans la mesure où son état avait nécessité la consultation de différents spécialistes et la mise en place de divers traitements. En février 2023, la situation clinique demeurait inchangée et aucun traitement ne soulageait la douleur de la patiente qui devait se soumettre à des perfusions d'antalgiques toutes les deux semaines. En outre, des séances d'ergo-physiothérapie restaient indiquées "de manière rapprochée" . L'accident a impacté sa vie quotidienne dans la mesure où il lui est impossible de marcher correctement sans moyens auxiliaires, qu'elle a besoin d'une assistance dans ses activités quotidiennes (tâches ménagères, courses) et que son état dépressif s'est aggravé en raison de la situation d'incertitude prolongée dans laquelle elle se trouvait quant aux traitements envisageables et les conséquences sur sa santé et son avenir professionnel – bien que cet état était préexistant à la survenance de l'accident. À ce jour, un traitement par stimulation médullaire est envisagé dans l'espoir de remédier aux douleurs persistantes depuis l'accident. Ce traitement implique a minima deux nouvelles opérations, s'effectuant en général lors d'une hospitalisation ambulatoire, puis un suivi avec des rendez-vous en ambulatoire. Le médecin estime que les chances d'amélioration des douleurs de la plaignante par cette technique sont "réelles" , toutefois il précise qu'il soit possible que l'amélioration soit "faible, voire nulle" . Sans que les souffrances de la plaignante ne soient remises en cause, ces lésions ne sont pas assimilables à une atteinte permanente ou à tout le moins durable d'une faculté humaine. Sa vie n'a pas non plus été mise en danger, elle n'a pas subi plusieurs mois d'hospitalisation et le heurt n'a pas été d'une grande violence, bien que la Cour ne nie pas son caractère traumatisant. Le montant de CHF 50'000.- réclamé par la plaignante dépasse largement les montants admis par la jurisprudence et par le Conseil fédéral pour des atteintes modérées. Cela étant, l'atteinte à son intégrité physique et psychique demeure bien réelle, plus d'une année et demie après les faits. Les souffrances de la plaignante semblent principalement dues au développement d'une algoneurodystrophie et de post-arthrose consécutivement à la fracture subie au pied droit. Ces complications, bien que liées à l'accident, sont rares et les douleurs subies sont disproportionnées au regard de la faute de la conductrice. Son quotidien a toutefois été impacté d'une manière assez conséquente dans la mesure où elle doit faire usage de béquilles systématiquement, qu'elle a besoin d'une assistance pour les courses, les tâches ménagères et qu'elle peine à se doucher seule. En outre, les différents traitements proposés jusqu'à ce jour ne permettent pas de réduire efficacement les douleurs et impliquent un suivi ambulatoire conséquent impactant de manière non négligeable son quotidien. Toutefois, il semblerait que l'algodystrophie dont elle souffre et qui lui occasionne la majeure partie de ses douleurs ne soit pas permanente. Il sera également tenu compte de l'impact psychologique de l'accident et de ses conséquences sur la plaignante mais cet aspect sera relativisé dans la mesure où elle souffrait déjà avant l'accident d'une certaine vulnérabilité psychologique. À teneur du certificat médical de son médecin traitant, l'accident l'aurait également contrainte à suspendre toute activité professionnelle et de formation. La Cour estime toutefois manquer d'éléments à l'appui de ces assertions et n'a aucun élément tangible concernant la situation professionnelle de la plaignante avant l'accident, elle ignore même si cette dernière travaillait. Compte tenu de ce qui précède, il apparaît justifié de confirmer le montant de CHF 15'000.- alloué par le premier juge.</w:t>
      </w:r>
    </w:p>
    <w:p>
      <w:r>
        <w:rPr>
          <w:b/>
        </w:rPr>
        <w:t>E. 4.4</w:t>
      </w:r>
    </w:p>
    <w:p>
      <w:r>
        <w:t>Reste à trancher si ce montant doit être réduit pour tenir compte d'une éventuelle faute concomitante de la plaignante. À teneur des images de vidéo-surveillance, la Cour relève que l'attention de la plaignante était certes portée principalement sur son téléphone portable au moment des faits mais qu'il n'est pas non plus possible d'exclure un coup d'œil en direction de la circulation avant son engagement sur le passage pour piétons. Quoi qu'il en soit, à son arrivée à la hauteur dudit passage, A______ n'était pas encore engagée dans l'intersection le précédent de sorte que la piétonne – qui avait pris le soin de marquer un arrêt avant de s'engager – pouvait légitimement penser que tout conducteur allait ralentir et s'arrêter afin de lui céder la priorité, ce que A______ aurait dû faire au demeurant. Dans ces circonstances, le fait que la plaignante ait eu ou non son attention portée sur son téléphone portable n'est pas relevant puisque ce n'est pas sa façon d'agir qui a favorisé la survenance du dommage. À ce propos, il sied de constater le caractère banal, de nos jours, de piétons circulant en ville tout en consultant leur téléphone portable, cette attitude n'a en effet plus rien d'extraordinaire. Même à considérer que la plaignante ait commis une faute, celle-ci devrait donc être qualifiée de très légère et la disproportion entre sa faute et celle de A______ exclurait une réduction de l'indemnité allouée.</w:t>
      </w:r>
    </w:p>
    <w:p>
      <w:r>
        <w:rPr>
          <w:b/>
        </w:rPr>
        <w:t>E. 5</w:t>
      </w:r>
    </w:p>
    <w:p>
      <w:r>
        <w:t>C______ et A______, appelantes, succombent toutes deux intégralement dans leurs conclusions. Dans ces conditions, elles supporteront les frais de la procédure envers l'État, comprenant un émolument de CHF 1'500.-, à raison de moitié chacune (art. 428 CPP et art. 14 du règlement fixant le tarif des frais en matière pénale [RTFMP]). Vu l'issue de la procédure d'appel, il n'y a pas lieu de revenir sur la répartition des frais de première instance.</w:t>
      </w:r>
    </w:p>
    <w:p>
      <w:r>
        <w:rPr>
          <w:b/>
        </w:rPr>
        <w:t>E. 6</w:t>
      </w:r>
    </w:p>
    <w:p>
      <w:r>
        <w:t>6.1.1. En vertu de l'art. 436 al. 1 CPP, les prétentions en indemnités et en réparation du tort moral dans la procédure de recours sont régies par les art. 429 à 434. Ainsi, si le prévenu est acquitté totalement ou en partie, il a droit à une indemnité pour les dépenses occasionnées par l'exercice raisonnable de ses droits de procédure (art. 429 al. 1 let. a CPP). 6.1.2. Vu l'issue de l'appel, les prétentions en indemnité de A______ seront intégralement rejetées (art. 429 al. 1 let. a CPP a contrario). 6.2.1. Selon l'art. 135 al. 1 CPP, le défenseur d'office ou le conseil juridique gratuit (cf. art. 138 al. 1 CPP) est indemnisé conformément au tarif des avocats de la Confédération ou du canton du for du procès. À Genève, l'art. 16 du règlement sur l'assistance juridique (RAJ)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6.2.2. M e D______, conseil juridique gratuit de C______, n'a pas produit d'état de frais. Elle sollicite toutefois une indemnité équivalente à CHF 1'000.- pour les frais de défense en appel dans son mémoire réponse, soit l'équivalent de cinq heures d'activité à CHF 200.-/heure. Dans la mesure où elle a expliqué avoir eu deux entretiens de 20 minutes chacun et consacré deux heures à la rédaction de son mémoire d'appel motivé, il en résulte une activité de rédaction de deux heures et 20 minutes pour le mémoire réponse motivé. Cette activité paraît adéquate et conforme aux exigences de l'assistance judiciaire. Partant, la rémunération de M e D______ sera arrêtée à CHF 1'292.40 correspondant à cinq heures d'activité au tarif de CHF 200.-/heure (CHF 1'000.-) plus la majoration forfaitaire de 20% (CHF 200.-) et l'équivalent de la TVA au taux de 7.7% (CHF 92.40).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