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P/19741/2018 vom 10. November 2025</w:t>
      </w:r>
    </w:p>
    <w:p>
      <w:r>
        <w:t>GE Cour de justice, 2025-11-10, FR</w:t>
      </w:r>
    </w:p>
    <w:p>
      <w:r>
        <w:rPr>
          <w:b/>
        </w:rPr>
        <w:t xml:space="preserve">Quelle: </w:t>
      </w:r>
      <w:r>
        <w:t>https://mcp.opencaselaw.ch/entscheid/ge_gerichte_P_19741_2018</w:t>
      </w:r>
    </w:p>
    <w:p>
      <w:r>
        <w:t>FR: GE_GERICHTE P/19741/2018 du 10 novembre 2025</w:t>
      </w:r>
    </w:p>
    <w:p>
      <w:r>
        <w:t>IT: GE_GERICHTE P/19741/2018 del 10 novembre 2025</w:t>
      </w:r>
    </w:p>
    <w:p>
      <w:pPr>
        <w:pStyle w:val="Heading2"/>
      </w:pPr>
      <w:r>
        <w:t>Regeste</w:t>
      </w:r>
    </w:p>
    <w:p>
      <w:r>
        <w:t>JONCTION DE CAUSES | CPP.29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dans la procédure P/19741/2018 et mis en cause dans la P/19899/2024,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d’avoir joint les deux procédures.</w:t>
      </w:r>
    </w:p>
    <w:p>
      <w:r>
        <w:rPr>
          <w:b/>
        </w:rPr>
        <w:t>E. 3.1</w:t>
      </w:r>
    </w:p>
    <w:p>
      <w:r>
        <w:t>Selon l’art. 29 al. 1 CPP, les infractions sont poursuivies et jugées conjointement dans les cas suivants : un prévenu a commis plusieurs infractions (let. a) ; il y a plusieurs coauteurs ou participation (let. b). L'art. 29 CPP règle le principe de l'unité de la procédure. Il prévoit qu'il y a lieu de poursuivre et juger, en une seule et même procédure, l'ensemble des infractions reprochées à un même prévenu. Le principe de l'unité de la procédure tend à éviter les jugements contradictoires et sert l'économie de la procédure (ATF 138 IV 29 consid. 3.2; ATF 138 IV 214 consid. 3.2; arrêt du Tribunal fédéral 1B_428/2018 du 7 novembre 2018 consid. 3.2).</w:t>
      </w:r>
    </w:p>
    <w:p>
      <w:r>
        <w:rPr>
          <w:b/>
        </w:rPr>
        <w:t>E. 3.2</w:t>
      </w:r>
    </w:p>
    <w:p>
      <w:r>
        <w:t>Selon l'art. 30 CPP, si des raisons objectives le justifient, le ministère public peut ordonner la disjonction de causes. La conduite de procédures séparées doit cependant rester l'exception. Elle tend à garantir la rapidité de l'instruction et à éviter un retard inutile (arrêt du Tribunal fédéral 7B_1184/2024 du 11 avril 2025 consid. 2.2.1 et 2.2.2).</w:t>
      </w:r>
    </w:p>
    <w:p>
      <w:r>
        <w:rPr>
          <w:b/>
        </w:rPr>
        <w:t>E. 3.3</w:t>
      </w:r>
    </w:p>
    <w:p>
      <w:r>
        <w:t>En l’espèce, non seulement le recourant est visé par les deux procédures jointes, mais les mis en cause de la procédure plus récente sont également visés par la première procédure. Qui plus est, les infractions concernées par les deux procédures sont de même nature (financière). Il s’ensuit que les principes de l’art. 29 al. 1 CPP trouvent ici application. Le recourant soulève la question de la violation du principe de la célérité. Il ressort toutefois des éléments aux dossiers, que le Ministère public n’a pas (encore) tenu d’audience dans la première procédure, dans laquelle le recourant a été entendu par la police en octobre 2023. Dans la seconde, en revanche, le Ministère public a procédé à l’audition des parties plaignantes. Au vu de ces éléments, on ne voit pas que la jonction de la cause la plus récente à la première procédure retarderait l’issue de celle-ci. Partant, c’est à bon droit que le Ministère public a ordonné la jonction des procédures P/19741/20218 et P/19899/2024.</w:t>
      </w:r>
    </w:p>
    <w:p>
      <w:r>
        <w:rPr>
          <w:b/>
        </w:rPr>
        <w:t>E. 4</w:t>
      </w:r>
    </w:p>
    <w:p>
      <w:r>
        <w:t>Justifiée, l'ordonnance querellée sera donc confirmée.</w:t>
      </w:r>
    </w:p>
    <w:p>
      <w:r>
        <w:rPr>
          <w:b/>
        </w:rPr>
        <w:t>E. 5</w:t>
      </w:r>
    </w:p>
    <w:p>
      <w:r>
        <w:t>Le recourant, qui succombe, supportera les frais envers l'État, qui comprendront un émolument de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