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P/19734/2019 vom 22. Januar 2020</w:t>
      </w:r>
    </w:p>
    <w:p>
      <w:r>
        <w:t>GE Cour de justice, 2020-01-22, FR</w:t>
      </w:r>
    </w:p>
    <w:p>
      <w:r>
        <w:rPr>
          <w:b/>
        </w:rPr>
        <w:t xml:space="preserve">Quelle: </w:t>
      </w:r>
      <w:r>
        <w:t>https://mcp.opencaselaw.ch/entscheid/ge_gerichte_P_19734_2019</w:t>
      </w:r>
    </w:p>
    <w:p>
      <w:r>
        <w:t>FR: GE_GERICHTE P/19734/2019 du 22 janvier 2020</w:t>
      </w:r>
    </w:p>
    <w:p>
      <w:r>
        <w:t>IT: GE_GERICHTE P/19734/2019 del 22 gennaio 2020</w:t>
      </w:r>
    </w:p>
    <w:p>
      <w:pPr>
        <w:pStyle w:val="Heading2"/>
      </w:pPr>
      <w:r>
        <w:t>Regeste</w:t>
      </w:r>
    </w:p>
    <w:p>
      <w:r>
        <w:t>CONTRAINTE(DROIT PÉNAL);SOUPÇON | CP.181; CPP.310; LPAv.42</w:t>
      </w:r>
    </w:p>
    <w:p>
      <w:pPr>
        <w:pStyle w:val="Heading2"/>
      </w:pPr>
      <w:r>
        <w:t>Erwägungen</w:t>
      </w:r>
    </w:p>
    <w:p>
      <w:r>
        <w:rPr>
          <w:b/>
        </w:rPr>
        <w:t>E. 1.1</w:t>
      </w:r>
    </w:p>
    <w:p>
      <w:r>
        <w:t>Le recours a été déposé selon la forme et dans le délai prescrits (art. 385 al. 1 et 396 al. 1 CPP) - les formalités de notification selon l'art.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 entrée en matière s'il ressort de la dénonciation ou du rapport de police que les éléments constitutifs de l'infraction ou les conditions à l'ouverture de l'action pénale ne sont manifestement pas réunies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apparaîssent équivalentes, en particulier en présence d'infraction grave (ATF 138 IV 86 consid. 4.1.2;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 Sur le plan subjectif, il faut que l'auteur ait agi intentionnellement, c'est-à-dire qu'il ait voulu contraindre la victime à adopter le comportement visé en étant conscient de l'illicéité de son comportement; le dol éventuel suffit (ATF 120 IV 7 consid. 2c p. 22). Lorsque la victime ne se laisse pas intimider et n'adopte pas le comportement voulu par l'auteur, ce dernier est punissable de tentative de contrainte (art. 22 al. 1 CP; ATF 129 IV 262 consid. 2.7 p. 270; 106 IV 125 consid. 2b p. 129). 3.3.1. En l'espèce, le recourant voit dans le courrier de Me E______ une tentative de contrainte au motif que le précité l'y aurait menacé d'une dénonciation à la Commission du Barreau, respectivement du dépôt d'une plainte pénale pour tentative d'escroquerie, s'il persistait dans ses démarches. Il sied tout d'abord de mettre en exergue que conformément à l'art. 42 al. 1 de la loi sur la profession d'avocat du 26 avril 2002 (LPAv ; E 6 10), la Commission du Barreau a une compétence de surveillance sur les avocats et les avocats stagiaires inscrits au registre (art. 42 al. 2 LPAv). Il s'ensuit que la Commission du Barreau n'a aucun pouvoir de surveillance sur le recourant, qui ne revêt pas ces qualités. La perspective d'une dénonciation à la Commission du Barreau viserait ainsi uniquement l'avocat du recourant, ce d'autant plus que le courrier litigieux se référait au conseil habituel du recourant. Il n'y a dès lors pas de prévention pénale de tentative de contrainte à l'encontre du recourant. S'agissant du dépôt d'une éventuelle plainte pénale, pour tentative d'escroquerie, cette évocation intervenait dans le contexte d'une invalidation d'une transaction judiciaire par le recourant. On ne saurait dès lors retenir que l'objet de l'éventuelle plainte, annoncée dans le courrier litigieux, était sans rapport avec les prétentions de la mandante de Me E______. En effet, dans la mesure où celui qui promet une prestation sans avoir l'intention de l'exécuter agit astucieusement - parce qu'en promettant, il donne le change sur ses véritables intentions, ce que sa victime est dans l'impossibilité de vérifier (ATF 118 IV 359 consid. 2 p. 360 s.; arrêt du Tribunal fédéral 6B_1141/2017 du 7 juin 2018 consid. 1.2.1) -, l'avocat ne pouvait exclure que l'agissement du recourant fût constitutif d'une tentative d'escroquerie commise au préjudice de sa mandante. Il s'ensuit que la menace de déposer une plainte pénale ne constituait pas un moyen de pression abusif et restait dans un rapport raisonnable avec le but visé, de sorte qu'elle n'apparaît pas illicite. Faute de prévention pénale suffisante, la décision querellée ne prête pas le flanc à la critique. 3.3.2. Le recourant reproche au Ministère public d'avoir omis de prendre en considération les agissements des mandants de Me E______ et de C______ SA. Il ne produit toutefois aucune pièce permettant d'établir l'existence d'éventuelles menaces de la part des premiers. Le courrier de leur avocat n'est, comme déjà expliqué, pas pénalement relevant. Il en va de même du courrier de C______ SA. La prolongation unique du bail arrivant, conformément au procès-verbal de conciliation, à échéance le 30 septembre 2019, il était conforme aux dispositions légales régissant le bail de fixer un rendez-vous du constat de sortie. Au surplus, le courrier litigieux contenait des phrases types usuelles en pareilles circonstances. La mise en cause n'exprimait dans ce cadre aucune menace à l'encontre du recourant. Qu'elle n'ait tenu aucun compte de l'invalidation, par le recourant, de l'accord transactionnel ne joue aucun rôle ici.</w:t>
      </w:r>
    </w:p>
    <w:p>
      <w:r>
        <w:rPr>
          <w:b/>
        </w:rPr>
        <w:t>E. 4</w:t>
      </w:r>
    </w:p>
    <w:p>
      <w:r>
        <w:t>. Justifiée, l'ordonnance querellée sera confirmée.</w:t>
      </w:r>
    </w:p>
    <w:p>
      <w:r>
        <w:rPr>
          <w:b/>
        </w:rPr>
        <w:t>E. 5</w:t>
      </w:r>
    </w:p>
    <w:p>
      <w:r>
        <w:t>Le recourant sollicite l'octroi de l'assistance judiciaire pour la procédure de recours.</w:t>
      </w:r>
    </w:p>
    <w:p>
      <w:r>
        <w:rPr>
          <w:b/>
        </w:rPr>
        <w:t>E. 5.1</w:t>
      </w:r>
    </w:p>
    <w:p>
      <w:r>
        <w:t>Conformément à l'art. 136 al. 1 CPP, la direction de la procédure accorde entièrement ou partiellement l'assistance judiciaire à la partie plaignante pour lui permettre de faire valoir ses prétentions civiles, pour autant qu'elle soit indigente (let. a) et que l'action civile ne paraisse pas vouée à l'échec (let. b).</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5.3</w:t>
      </w:r>
    </w:p>
    <w:p>
      <w:r>
        <w:t>En l'espèce, au vu de l'issue du recours, celui-ci était manifestement voué à l'échec, quand bien même le recourant serait indigent. D'ailleurs, celui-ci n'explique nullement dans quelle mesure il pourrait faire valoir d'éventuelles prétentions civiles à l'encontre des mis en cause. La requête ne peut dès lors qu'être rejetée.</w:t>
      </w:r>
    </w:p>
    <w:p>
      <w:r>
        <w:rPr>
          <w:b/>
        </w:rPr>
        <w:t>E. 6</w:t>
      </w:r>
    </w:p>
    <w:p>
      <w:r>
        <w:t>Le recourant, qui succombe, supportera les frais envers l'Etat, fixés en totalité à CHF  500.- (art. 428 al. 1 CPP et 13 al. 1 du Règlement fixant le tarif des frais en matière pénale, RTFMP ; E 4 10.03), hors ceux liés à la demande d'assistance juridique, dont l'examen est gratuit.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