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P/19724/2018 vom 21. November 2018</w:t>
      </w:r>
    </w:p>
    <w:p>
      <w:r>
        <w:t>GE Cour de justice, 2018-11-21, FR</w:t>
      </w:r>
    </w:p>
    <w:p>
      <w:r>
        <w:rPr>
          <w:b/>
        </w:rPr>
        <w:t xml:space="preserve">Quelle: </w:t>
      </w:r>
      <w:r>
        <w:t>https://mcp.opencaselaw.ch/entscheid/ge_gerichte_P_19724_2018</w:t>
      </w:r>
    </w:p>
    <w:p>
      <w:r>
        <w:t>FR: GE_GERICHTE P/19724/2018 du 21 novembre 2018</w:t>
      </w:r>
    </w:p>
    <w:p>
      <w:r>
        <w:t>IT: GE_GERICHTE P/19724/2018 del 21 novembre 2018</w:t>
      </w:r>
    </w:p>
    <w:p>
      <w:pPr>
        <w:pStyle w:val="Heading2"/>
      </w:pPr>
      <w:r>
        <w:t>Regeste</w:t>
      </w:r>
    </w:p>
    <w:p>
      <w:r>
        <w:t>ABUS DE CONFIANCE ; VÉHICULE | CP.138; CP.137; CPP.310</w:t>
      </w:r>
    </w:p>
    <w:p>
      <w:pPr>
        <w:pStyle w:val="Heading2"/>
      </w:pPr>
      <w:r>
        <w:t>Erwägungen</w:t>
      </w:r>
    </w:p>
    <w:p>
      <w:r>
        <w:rPr>
          <w:b/>
        </w:rPr>
        <w:t>E. 1</w:t>
      </w:r>
    </w:p>
    <w:p>
      <w:r>
        <w:t>Le recours est recevable pour avoir été déposé selon la forme et dans le délai prescrits (art. 90 al. 2 CPP,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fait grief au Ministère public de ne pas être entré en matière sur sa plainte pénale et considère que le comportement de la mise en cause est constitutif d'un abus de confiance, subsidiairement d'une appropriation illégitime.</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(éds), Commentaire romand : Code de procédure pénale suisse , Bâle 2011,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 n. 9 ad art. 310 ; R. PFISTER-LIECHTI (éd.), La procédure pénale fédérale, Fondation pour la formation continue des juges suisses, Berne 2010, p. 62).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w:t>
      </w:r>
    </w:p>
    <w:p>
      <w:r>
        <w:rPr>
          <w:b/>
        </w:rPr>
        <w:t>E. 2.2</w:t>
      </w:r>
    </w:p>
    <w:p>
      <w:r>
        <w:t>Selon l'art. 138 ch. 1 al. 1 CP, commet un abus de confiance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(ATF 120 IV 276 consid. 2). S'approprie une chose mobilière celui qui l'incorpore économiquement à son patrimoine, que ce soit pour la conserver, l'utiliser ou l'aliéner, c'est-à-dire qui en dispose comme s'il en était le propriétaire. L'appropriation implique, d'une part, que l'auteur veut la dépossession durable du propriétaire et, d'autre part, qu'il entend s'attribuer la chose, au moins pour un temps. Cette volonté doit se manifester par des signes extérieurs (ATF 118 IV 148 consid. 2a). Du point de vue subjectif, l'auteur doit agir intentionnellement, avec le dessein de se procurer ou de procurer à un tiers un enrichissement illégitime, qui peut être réalisé par dol éventuel (ATF 118 IV 32 consid. 2a).</w:t>
      </w:r>
    </w:p>
    <w:p>
      <w:r>
        <w:rPr>
          <w:b/>
        </w:rPr>
        <w:t>E. 2.3</w:t>
      </w:r>
    </w:p>
    <w:p>
      <w:r>
        <w:t>L'art. 137 CP punit, celui qui, pour se procurer ou procurer à un tiers un enrichissement illégitime, se sera approprié une chose mobilière appartenant à autrui, en tant que les conditions prévues aux art. 138 à 140 ne seront pas réalisées (ch. 1). Dès lors qu'une chose mobilière est confiée au sens de l'article 138 ch. 1 al. 1 CP, seul l'abus de confiance au sens de la disposition précitée entre en ligne de compte, à l'exclusion de l'appropriation illégitime (M. DUPUIS / L. MOREILLON / C. PIGUET / S. BERGER / M. MAZOU / V. RODIGARI (éds), Code pénal - Petit commentaire , 2 e éd., Bâle 2017, n. 54 ad art. 138).</w:t>
      </w:r>
    </w:p>
    <w:p>
      <w:r>
        <w:rPr>
          <w:b/>
        </w:rPr>
        <w:t>E. 2.4</w:t>
      </w:r>
    </w:p>
    <w:p>
      <w:r>
        <w:t>En l'espèce, le recourant produit plusieurs documents étayant sa thèse selon laquelle il serait l'unique propriétaire du véhicule litigieux, à savoir notamment une copie du permis de circulation du véhicule et le contrat de vente, tous deux établis à son nom. Les primes d'assurance du véhicule ainsi que les factures d'impôt sur le véhicule sont également à son nom. Son e-mail du 4 décembre 2017 adressé à la mise en cause corrobore également le fait qu'il s'estime seul propriétaire du véhicule et souhaite sa restitution. Le recourant est, au demeurant, resté constant dans ses déclarations, tant dans ses correspondances à la mise en cause, que dans sa plainte à la police. L'intimée, qui s'estime propriétaire du véhicule, allègue avoir financé l'achat de celui-ci au moyen de la somme acquise à la suite de la vente d'un autre véhicule, pour CHF 6'000.-. Elle ne produit toutefois aucun document étayant cette thèse, notamment le fait qu'elle aurait possédé un véhicule et qu'elle l'aurait vendu pour la somme articulée. Il ressort par ailleurs du contrat de vente que le prix payé pour le véhicule C______ était de CHF 26'900.-. L'intimée, sans emploi ni fortune, n'explique pas comment elle aurait ainsi pu financer à tout le moins le solde de cet achat. Elle a enfin effectué des démarches aux fins de mettre l'assurance du véhicule à son nom après le dépôt de plainte, ce qui peut laisser supposer un dessein de s'approprier le véhicule confié. Les faits dénoncés par le recourant seraient ainsi susceptibles de remplir les éléments constitutifs de l'abus de confiance. Les conditions posées à une non-entrée en matière n'étant pas réalisées, l'ordonnance attaquée doit être annulée et la cause renvoyée au Ministère pour qu'il ouvre une instruction.</w:t>
      </w:r>
    </w:p>
    <w:p>
      <w:r>
        <w:rPr>
          <w:b/>
        </w:rPr>
        <w:t>E. 3</w:t>
      </w:r>
    </w:p>
    <w:p>
      <w:r>
        <w:t>Fondé, le recours doit être admis; partant, l'ordonnance querellée sera annulée.</w:t>
      </w:r>
    </w:p>
    <w:p>
      <w:r>
        <w:rPr>
          <w:b/>
        </w:rPr>
        <w:t>E. 4.1</w:t>
      </w:r>
    </w:p>
    <w:p>
      <w:r>
        <w:t>L'admission du recours ne donne pas lieu à la perception de frais (art. 428 al. 1 CPP).</w:t>
      </w:r>
    </w:p>
    <w:p>
      <w:r>
        <w:rPr>
          <w:b/>
        </w:rPr>
        <w:t>E. 4.2</w:t>
      </w:r>
    </w:p>
    <w:p>
      <w:r>
        <w:t>Le recourant, qui obtient gain de cause, a demandé une indemnité de CHF 2'399.90, TVA 7.7 % et frais et débours compris (art. 436 al. 1 et 2 CPP). Après examen de sa note de frais et eu égard à l'activité déployée (un recours de 17 pages et une réplique), elle sera admise à concurrence du montant demandé, lequel apparaît en adéquation avec le travail fourni.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