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P/19717/2019 vom 14. Juli 2020</w:t>
      </w:r>
    </w:p>
    <w:p>
      <w:r>
        <w:t>GE Cour de justice, 2020-07-14, FR</w:t>
      </w:r>
    </w:p>
    <w:p>
      <w:r>
        <w:rPr>
          <w:b/>
        </w:rPr>
        <w:t xml:space="preserve">Quelle: </w:t>
      </w:r>
      <w:r>
        <w:t>https://mcp.opencaselaw.ch/entscheid/ge_gerichte_P_19717_2019</w:t>
      </w:r>
    </w:p>
    <w:p>
      <w:r>
        <w:t>FR: GE_GERICHTE P/19717/2019 du 14 juillet 2020</w:t>
      </w:r>
    </w:p>
    <w:p>
      <w:r>
        <w:t>IT: GE_GERICHTE P/19717/2019 del 14 luglio 2020</w:t>
      </w:r>
    </w:p>
    <w:p>
      <w:pPr>
        <w:pStyle w:val="Heading2"/>
      </w:pPr>
      <w:r>
        <w:t>Regeste</w:t>
      </w:r>
    </w:p>
    <w:p>
      <w:r>
        <w:t>RUPTURE DE BAN;FIXATION DE LA PEINE;PEINE PRIVATIVE DE LIBERTÉ;PEINE COMPLÉMENTAIRE;REFORMATIO IN PEJUS | CP.291.al1; CP.47; CP.49.al2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291 CP prévoit une peine privative de liberté de trois ans au plus ou d'une peine pécuniaire.</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2.1.2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2.1.3</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6B_1141/2017 du 7 juin 2018 consid. 4.1). Dans ce contexte, le juge doit procéder selon les principes de l'art. 49 al. 1 CP (ATF 142 IV 265 consid. 2.3.3 p. 268; 138 IV 120 consid. 5.2 p. 122 s.). La peine complémentaire est constituée de la différence entre cette peine d'ensemble et la peine de base, à savoir celle prononcée précédemment (ATF 141 IV 61 consid. 6.1.2 p. 67; 6B_1141/2017 précité consid. 4.1). Bien que le deuxième tribunal doive fixer la peine d'ensemble,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w:t>
      </w:r>
    </w:p>
    <w:p>
      <w:r>
        <w:rPr>
          <w:b/>
        </w:rPr>
        <w:t>E. 2.1.4</w:t>
      </w:r>
    </w:p>
    <w:p>
      <w:r>
        <w:t>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(par analogie avec l'ancien droit s'agissant du choix de la peine : ATF 134 IV 60 ; M. DUPUIS / L. MOREILLON / C. PIGUET / S. BERGER / M. MAZOU / V. RODIGARI, Petit commentaire du Code pénal , 2e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 n. 3 ad art. 41 [1.1.2018]).</w:t>
      </w:r>
    </w:p>
    <w:p>
      <w:r>
        <w:rPr>
          <w:b/>
        </w:rPr>
        <w:t>E. 2.1.5</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Le juge doit fixer, pour toute infraction à juger, le genre de peine devant sanctionner les faits concernés. A cet égard,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(arrêt du Tribunal fédéral ______/2019 du ______ 2019, consid. 1.4.1). 2.2.1. En l'espèce, la faute de l'appelant n'est pas négligeable. Il a persisté à séjourner en Suisse sans être au bénéfice des autorisations nécessaires, nonobstant deux mesures d'expulsion judiciaire d'une durée de cinq et dix ans prononcées à son encontre. Si l'acte reproché est certes de courte durée et n'a causé qu'un faible trouble à l'ordre public, il ne faut pas sous-estimer le préjudice pour la collectivité du séjour illégal, y compris au plan matériel, puisque cela mobilise constamment les nombreux acteurs appelés à le réprimer. L'appelant a agi par pure convenance personnelle et au mépris de la loi et des décisions de justice, notamment des mesures d'expulsion déjà prises à son encontre par les autorités suisses, ce qu'il aurait continué à faire s'il n'avait pas été interpellé. La rupture de ban répétée, commise le 5 février 2020, soit moins d'un an après la première infraction et quelques jours seulement après l'audience de jugement, démontre qu'il fait fi des décisions de l'autorité et que les sanctions ne semblent avoir aucune influence sur son comportement. A cela s'ajoute une situation précaire qui augmente encore le risque de commission de nouvelles infractions. Sa situation personnelle est certainement précaire, mais cela ne justifie pas son comportement. Le mobile lié à des problèmes de santé ne peut être pris en considération, dès lors que l'appelant ne fournit aucun élément qui puisse indiquer qu'il souffre d'une maladie ou qu'il a entrepris des démarches médicales en Suisse. Il n'a en outre jamais apporté la preuve qu'il ne pouvait pas se faire soigner en Italie où il indique vivre, ni ailleurs qu'en Suisse. Partant, le défaut de crédibilité qui s'y rattache ne permet pas de retenir que tel est le motif qui expliquerait son maintien en Suisse en violation de la loi. Sa collaboration à la procédure a été médiocre, dans la mesure où il a seulement plaidé en appel qu'il souffrait de problèmes de santé, ce qui apparaît de pure circonstance compte tenu de son silence à ce sujet lors des auditions devant la police et le MP. Sa prise de conscience du caractère illicite de ses agissements et son amendement sont tout au plus balbutiants. Ils sont en tout état grandement à relativiser au regard de ses dix condamnations précédentes depuis 2008, notamment pour des faits similaires, qui ne l'ont pas découragé de récidiver. Il a été pris en flagrant délit et en récidive, ce qui démontre, s'il le faut encore, qu'il s'obstine à demeurer ou à revenir en Suisse en toute illégalité. Il a certes reconnu sa culpabilité évidente, mais ses antécédents spécifiques montrent qu'il n'a tiré aucun enseignement du caractère répréhensible de ses agissements et est durablement ancré dans la délinquance, ce qui est un motif d'aggravation de la peine. Cette persévérance dans la commission répétée d'infractions ne peut que conduire au prononcé d'une sanction sévère. Si l'appelant a manifesté son intention de quitter la Suisse pour s'établir en Italie, à ______, auprès de sa femme, la Cour ne peut s'appuyer sur aucun élément au dossier attestant de la réalité de sa détermination, ni même de liens en Italie. De plus, en dépit du fait qu'il allègue aujourd'hui être en mesure de s'acquitter d'une peine pécuniaire, en se prévalant de la possibilité de reprendre une activité professionnelle dans ce pays, rien ne prouve non plus la faisabilité de son projet. Une peine pécuniaire est ainsi exclue aussi bien par la situation de l'appelant, sans revenu ni fortune, que par l'absence de tout effet dissuasif d'une telle peine sur lui, sa précédente condamnation à une peine de ce genre ne l'ayant pas incité à se conformer à la législation suisse. Seule une peine privative de liberté ferme apparaît justifiée en l'espèce. 2.2.2. Les agissements de l'appelant poursuivis dans la présente procédure remontent aux mois de juin à septembre 2019 et sont donc antérieurs à la condamnation du 25 mars 2020 prononcée par le TP à l'occasion de laquelle l'appelant s'est vu infliger une peine privative de liberté de huit mois, sous déduction de 50 jours avant jugement, pour rupture de ban (peine de base). Conformément à la jurisprudence, il convient de tenir compte du concours réel rétrospectif au sens de l'art. 49 al. 2 CP, la peine requise par le TP le 28 janvier 2020 ne tenant pas compte de celle prononcée le 25 mars 2019 et donc du caractère désormais complémentaire de la peine à fixer. Une peine privative de liberté de 14 mois aurait ainsi correctement sanctionné les deux infractions à l'origine de la présente procédure commises en concours et en récidive par l'appelant, vu son comportement délictueux répété et son mépris des décisions de justice le frappant (dix mois qui devraient sanctionner l'infraction de rupture de ban commise entre le 7 juin et le 25 septembre 2019, infraction la plus grave vu sa durée, et, par le jeu de concours selon l'art. 49 al. 1 CP, quatre mois pour la rupture de ban répétée le 5 février 2020 [peine hypothétique de huit mois]). Constituée de la différence entre cette peine d'ensemble (14 mois) et la peine de base résultant du jugement du 25 mars 2020 (huit mois), la peine privative de liberté complémentaire devrait être arrêtée à six mois. Cela étant, en l'absence d'appel(-joint) du MP, la CPAR est liée par l'interdiction de la reformatio in pejus (art. 391 al. 2 CPP), de sorte que la quotité de la peine du jugement entrepris sera confirmée.</w:t>
      </w:r>
    </w:p>
    <w:p>
      <w:r>
        <w:rPr>
          <w:b/>
        </w:rPr>
        <w:t>E. 3</w:t>
      </w:r>
    </w:p>
    <w:p>
      <w:r>
        <w:t>L'appelant, qui succombe, supportera les frais de la procédure envers l'Etat, qui comprennent un émolument de CHF 1'200.- (art. 428 CPP).</w:t>
      </w:r>
    </w:p>
    <w:p>
      <w:r>
        <w:rPr>
          <w:b/>
        </w:rPr>
        <w:t>E. 4</w:t>
      </w:r>
    </w:p>
    <w:p>
      <w:r>
        <w:t>L'état de frais produit par le conseil de l'appelant paraît adéquat et conforme aux dispositions et principes qui régissent l'assistance judiciaire, de sorte qu'il sera admis sans en reprendre le détail. En conclusion, l'indemnité sera arrêtée à CHF 1'163.20 correspondant à 4h30 d'activité au tarif de CHF 200.-/heure (CHF 900.-), plus la majoration forfaitaire de 20% (CHF 180.-) et l'équivalent de la TVA au taux de 7.7% (CHF 83.20).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