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P/19701/2022 vom 18. September 2022</w:t>
      </w:r>
    </w:p>
    <w:p>
      <w:r>
        <w:t>GE Cour de justice, 2022-09-18, FR</w:t>
      </w:r>
    </w:p>
    <w:p>
      <w:r>
        <w:rPr>
          <w:b/>
        </w:rPr>
        <w:t xml:space="preserve">Quelle: </w:t>
      </w:r>
      <w:r>
        <w:t>https://mcp.opencaselaw.ch/entscheid/ge_gerichte_P_19701_2022</w:t>
      </w:r>
    </w:p>
    <w:p>
      <w:r>
        <w:t>FR: GE_GERICHTE P/19701/2022 du 18 septembre 2022</w:t>
      </w:r>
    </w:p>
    <w:p>
      <w:r>
        <w:t>IT: GE_GERICHTE P/19701/2022 del 18 settembre 2022</w:t>
      </w:r>
    </w:p>
    <w:p>
      <w:pPr>
        <w:pStyle w:val="Heading2"/>
      </w:pPr>
      <w:r>
        <w:t>Regeste</w:t>
      </w:r>
    </w:p>
    <w:p>
      <w:r>
        <w:t>VOIES DE FAIT;MENACE(DROIT PÉNAL);DÉTENTION PROVISOIRE;RISQUE DE COLLUSION;RISQUE DE RÉCIDIVE;MESURE DE SUBSTITUTION À LA DÉTENTION;PROPORTIONNALITÉ | CPP.221; CPP.237; CP.126; CP.180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Dans la mesure où le recourant demande sa mise en liberté, sa conclusion en constatation de l'illicéité de la détention est irrecevable.</w:t>
      </w:r>
    </w:p>
    <w:p>
      <w:r>
        <w:rPr>
          <w:b/>
        </w:rPr>
        <w:t>E. 2</w:t>
      </w:r>
    </w:p>
    <w:p>
      <w:r>
        <w:t>Le recourant conteste que les infractions retenues contre lui justifient un placement en détention provisoire.![endif]&gt;![if&gt;</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 crime ou un délit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Le Code pénal réprime, sur plainte, le comportement de celui qui aura effrayé une personne par une menace grave (art.  180  CP). Sur le plan objectif, l'art. 180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arrêt du Tribunal fédéral 6B_578/2016 du 19 août 2016 consid. 2.1). L'exigence d'une menace grave doit conduire à exclure la punissabilité lorsque le préjudice évoqué apparaît objectivement d'une importance trop limitée pour justifier la répression pénale. Deuxièmement,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2.3</w:t>
      </w:r>
    </w:p>
    <w:p>
      <w:r>
        <w:t>En l'espèce, le recourant n'est pas prévenu que de voies de fait – contravention (art. 103 CP) ne permettant effectivement pas une mise en détention provisoire –, mais également de menaces à l'égard de son épouse (art. 180 CP), de violences à l'égard des policiers procédant à son contrôle (art. 285 CP) et de dommages à la propriété (art. 144 CP). Ces délits (art. 10 al. 3 CP) remplissent la condition de l'art. 221 al. 1 CPP. Le recourant conteste avoir menacé son épouse et s'être montré violent à l'égard des policiers procédant à son contrôle, mais les déclarations circonstanciées de la première et les éléments ressortant du rapport d'arrestation constituent, en l'état, des soupçons suffisants. Le recourant estime que les menaces qui lui sont reprochées – et qui ont été retenues par le TMC pour l'examen des risques retenus –, ne rempliraient pas la condition de gravité pour justifier un placement en détention provisoire. En l'occurrence, le prévenu est soupçonné d'avoir menacé de forcer la porte palière pour entrer dans l'appartement – ce qu'il avait déjà fait par le passé –, si son épouse n'ouvrait pas ; puis, lorsqu'elle a appelé la police, de lui faire " payer " son acte. Les menaces proférées ne sont nullement anodines, car ces propos, dans le contexte dans lequel ils ont été proférés et l'état d'énervement dans lequel était le recourant, sous l'emprise de l'alcool et de cocaïne, étaient propres à effrayer son épouse, qui a d'ailleurs eu peur, puisqu'elle a fait appel aux forces de l'ordre. Qu'elle ait déclaré par la suite que la phrase " tu vas voir, tu vas payer " ferait allusion à des " choses matérielles qu'il pourrait casser " n'atténue pas l'intensité de la menace, laquelle a alarmé sa destinataire. Les conditions de l'art. 221 al. 1 CPP sont donc remplies.</w:t>
      </w:r>
    </w:p>
    <w:p>
      <w:r>
        <w:rPr>
          <w:b/>
        </w:rPr>
        <w:t>E. 3</w:t>
      </w:r>
    </w:p>
    <w:p>
      <w:r>
        <w:t>Le recourant conteste tout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TMC a retenu l'existence d'un risque de collusion à l'égard de l'épouse du prévenu. Sur la base des principes sus-rappelés, ce risque ne vaut qu'à l'égard des menaces, les voies de fait ne pouvant justifier une mise en détention provisoire. Or, le recourant nie avoir proféré une quelconque menace, de sorte qu'il est nécessaire, et important, que la confrontation entre lui et son épouse puisse avoir lieu sans qu'il n'exerce au préalable de pressions sur la précitée en vue de l'amener à formuler une version plus favorable pour lui.</w:t>
      </w:r>
    </w:p>
    <w:p>
      <w:r>
        <w:rPr>
          <w:b/>
        </w:rPr>
        <w:t>E. 4</w:t>
      </w:r>
    </w:p>
    <w:p>
      <w:r>
        <w:t>Le recourant conteste tout risque de réitération.![endif]&gt;![if&gt;</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4.2</w:t>
      </w:r>
    </w:p>
    <w:p>
      <w:r>
        <w:t>En l'espèce, le recourant n'ayant pas d'antécédents de violence, l'éventuel risque de réitération ne pourrait se fonder que sur les faits dont il est ici soupçonné. Le jour des faits, il a fait preuve d'une soudaine violence à l'égard des policiers qui procédaient à son contrôle, à son domicile. Cette réaction, qu'il attribue à la peur et à l'effet de l'alcool, permet de redouter que, de retour au foyer conjugal, il ne fasse " payer " – comme il l'a annoncé – à son épouse les conséquences du recours par celle-ci aux forces de l'ordre. Or, il ressort du dossier que le recourant, qui ne le conteste pas, a tendance, lorsqu'il boit et prend de la cocaïne, à " devenir parano ", c'est-à-dire d'imaginer que sa femme le trompe, et à se montrer agressif. Dans la mesure où l'épouse a déclaré vouloir prendre un domicile séparé, il est à craindre que le recourant ne réitère ses menaces, voire ne les mette à exécution. La situation est d'autant plus critique que le recourant, qui dit être suivi sur le plan psychique, ne paraît pas très assidu et a préféré taire l'affection pour laquelle il consulte, ce qui relève de son droit mais qui ne permet pas, faute d'élément plus précis, d'atténuer la crainte d'une réitération, voire d'un passage à l'acte (art. 221 al. 2 CPP). Il s'ensuit que c'est à bon droit que le TMC a retenu un risque de réitération.</w:t>
      </w:r>
    </w:p>
    <w:p>
      <w:r>
        <w:rPr>
          <w:b/>
        </w:rPr>
        <w:t>E. 5</w:t>
      </w:r>
    </w:p>
    <w:p>
      <w:r>
        <w:t>Le recourant estime que des mesures de substitution pourraient pallier les risques retenus.![endif]&gt;![if&gt;</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En l'espèce, le recourant propose, en lieu et place de la détention, son hébergement dans un foyer, une interdiction de prise de contact (mesure d'éloignement) et un suivi psychothérapeutique. S'agissant du risque de collusion, l'interdiction de prise de contact paraît vaine, puisque le recourant a démontré, le soir des faits, sa propension à passer outre les injonctions de son épouse, de sorte qu'on peut douter de sa capacité à s'interdire de la contacter. En outre, la plaignante a elle-même renoncé à une mesure d'éloignement, de sorte que la simple interdiction de contact paraît inutile dans ce contexte. Ce risque est ainsi, jusqu'à l'audience de confrontation, bien trop important pour que l'on puisse ne compter que sur la volonté du prévenu. Quant au risque de réitération, il ne pourrait être atténué que par l'hébergement du prévenu ailleurs qu'au domicile conjugal. Il propose un foyer mais n'a, à ce jour, pas reçu de réponse favorable. Il s'ensuit que, en l'état, les mesures de substitution proposées ne sont pas aptes à réduire suffisamment les risques retenus.</w:t>
      </w:r>
    </w:p>
    <w:p>
      <w:r>
        <w:rPr>
          <w:b/>
        </w:rPr>
        <w:t>E. 6</w:t>
      </w:r>
    </w:p>
    <w:p>
      <w:r>
        <w:t>Le recourant invoque une violation de la proportionnalité.![endif]&gt;![if&gt;</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l'espèce, la détention provisoire, pour une durée de trois semaines, soit jusqu'au 7 octobre 2022, est largement proportionnée à la peine concrètement encourue si le recourant devait être reconnu coupable des infractions dont il est soupçonné. Il appartiendra toutefois au Ministère public, en particulier après l'audience de confrontation prévue le 3 octobre prochain, de mettre en œuvre, avec l'aide du conseil du recourant, les mesures de substitution proposées.</w:t>
      </w:r>
    </w:p>
    <w:p>
      <w:r>
        <w:rPr>
          <w:b/>
        </w:rPr>
        <w:t>E. 7</w:t>
      </w:r>
    </w:p>
    <w:p>
      <w:r>
        <w:t>Le recours s'avère ainsi infondé et doit être rejeté.![endif]&gt;![if&gt;</w:t>
      </w:r>
    </w:p>
    <w:p>
      <w:r>
        <w:rPr>
          <w:b/>
        </w:rPr>
        <w:t>E. 8</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9</w:t>
      </w:r>
    </w:p>
    <w:p>
      <w:r>
        <w:t>Le recourant plaide au bénéfice d'une défense d'office.![endif]&gt;![if&gt;</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malgré l'issue du recours, un premier contrôle des charges par l'autorité de recours pouvait se justifier en début de détention.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