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P/19688/2015 vom 29. Januar 2020</w:t>
      </w:r>
    </w:p>
    <w:p>
      <w:r>
        <w:t>GE Cour de justice, 2020-01-29, FR</w:t>
      </w:r>
    </w:p>
    <w:p>
      <w:r>
        <w:rPr>
          <w:b/>
        </w:rPr>
        <w:t xml:space="preserve">Quelle: </w:t>
      </w:r>
      <w:r>
        <w:t>https://mcp.opencaselaw.ch/entscheid/ge_gerichte_P_19688_2015</w:t>
      </w:r>
    </w:p>
    <w:p>
      <w:r>
        <w:t>FR: GE_GERICHTE P/19688/2015 du 29 janvier 2020</w:t>
      </w:r>
    </w:p>
    <w:p>
      <w:r>
        <w:t>IT: GE_GERICHTE P/19688/2015 del 29 gennaio 2020</w:t>
      </w:r>
    </w:p>
    <w:p>
      <w:pPr>
        <w:pStyle w:val="Heading2"/>
      </w:pPr>
      <w:r>
        <w:t>Regeste</w:t>
      </w:r>
    </w:p>
    <w:p>
      <w:r>
        <w:t>CITATION À COMPARAÎTRE;NOTIFICATION DE LA DÉCISION;DOMICILE ÉLU;DÉFAUT(CONTUMACE);DÉBAT DU TRIBUNAL;ORDONNANCE PÉNALE | CPP.356; CPP.87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356 al. 4 CPP, si l'opposant à une ordonnance pénale fait défaut aux débats devant le tribunal de première instance sans être excusé et sans se faire représenter, son opposition est réputée retirée. L'ordonnance pénale est une proposition de résolution extrajudiciaire d'une affaire, qui ne respecte pas les garanties minimales de procédure, en particulier celles ancrées aux art. 29a Cst féd. et 6 CEDH.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142 IV 158 consid. 3.4; arrêt du Tribunal fédéral 6B_877/2019 du 5 novembre 2019 consid. 2.1). Il faut d'abord que le prévenu ait eu une connaissance effective de la convocation à l'audience et des conséquences du défaut, l'abus de droit étant réservé (ATF 140 IV 82 consid. 2.7; arrêt du Tribunal fédéral 6B_877/2019 précité). En outre, la fiction légale du retrait de l'opposition ne peut s'appliquer que si l'on peut déduire du défaut non excusé un désintérêt pour la suite de la procédure pénale (ATF 140 IV 86 consid. 2.6; arrêt du Tribunal fédéral 6B_877/2019 précité). En d'autres termes, un retrait par actes concluants de l'opposition n'est admis que lorsqu'il ressort de l'ensemble du comportement de l'opposant qu'il renonce, en toute connaissance de cause, à une procédure ordinaire et à la protection qu'elle offre (ATF 142 IV 158 précité, consid. 3.1; arrêt du Tribunal fédéral 6B_877/2019 précité).</w:t>
      </w:r>
    </w:p>
    <w:p>
      <w:r>
        <w:rPr>
          <w:b/>
        </w:rPr>
        <w:t>E. 2.2</w:t>
      </w:r>
    </w:p>
    <w:p>
      <w:r>
        <w:t>Lorsque l'opposant est le prévenu, sa représentation au sens de l'art. 356 al. 4 CPP n'est possible que si la direction de la procédure n'a pas exigé sa présence (arrêts du Tribunal fédéral 6B_167/2017 du 25 juillet 2017 consid.2.2.1; 6B_7/2017 du 5 mai 2017 consid. 1.3 et 1.4; 6B_592/2012 du 11 février 2013 consid. 3.3). La présence d'un représentant n'affranchit ainsi pas l'opposant de la nécessité de se présenter personnellement aux débats (arrêt du Tribunal fédéral 6B_7/2017 précité consid. 1.4), respectivement de fournir un juste motif à sa non - comparution (arrêts du Tribunal fédéral 6B_802/2017 du 24 janvier 2018 consid. 2.3; 6B_747/2012 du 7 février 2014 consid. 3.3). Cela suppose une indication expresse dans le mandat de comparution que sa présence est obligatoire avec la mention des conséquences en cas d'absence, par exemple, par la reproduction du texte de l'art. 356 al. 4 CPP (arrêt du Tribunal fédéral 6B_592/2012 du 11 février 2013 consid. 3 ; ACPR/60/2017 du 8 novembre 2017 consid. 3.1).</w:t>
      </w:r>
    </w:p>
    <w:p>
      <w:r>
        <w:rPr>
          <w:b/>
        </w:rPr>
        <w:t>E. 2.3</w:t>
      </w:r>
    </w:p>
    <w:p>
      <w:r>
        <w:t>L'art. 356 al. 4 CPP ne définit pas à quelles conditions un empêchement peut être considéré comme excusé ou non. La doctrine relative à l'art. 205 CPP - dont on peut s'inspirer ici - mentionne, comme motifs d'excuse, la maladie, le service militaire ou l'absence à l'étranger, le service civile ou un autre service public affectant la disponibilité de la personne convoquée, la maladie d'un enfant ou d'un proche dont la personne convoquée à la charge et pour les soins duquel elle ne trouve pas de remplaçant à brève échéance, la grève d'une compagnie aérienne, le décès très récent d'un proche ou d'un parents ou d'autres situations d'exceptions, voire des engagements de la vie privée pris de longue date, avant la notification du mandat( ACPR/289/2018 du 28 mai 2018).</w:t>
      </w:r>
    </w:p>
    <w:p>
      <w:r>
        <w:rPr>
          <w:b/>
        </w:rPr>
        <w:t>E. 2.4</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Si elles le font, la notification doit intervenir en principe à cette adresse, sous peine d'être jugée irrégulière (ATF précité consid. 1.2 et 1.3).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En principe, la notification du mandat de comparution au conseil d'une partie ne suffit pas (arrêt du Tribunal fédéral 6B_552/2015 du 3 août 2016 consid. 2.3 et les références citées). Toutefois, dès lors que le destinataire est autorisé à indiquer une autre adresse de notification que son domicile ou sa résidence habituelle (ATF 139 IV 228 ), une partie est en droit de communiquer l'adresse de son conseil comme adresse de notification, y compris pour les mandats de comparution (arrêt du Tribunal fédéral 6B_673/2015 du 19 octobre 2016 consid. 1.2. et 1.3).</w:t>
      </w:r>
    </w:p>
    <w:p>
      <w:r>
        <w:rPr>
          <w:b/>
        </w:rPr>
        <w:t>E. 2.5</w:t>
      </w:r>
    </w:p>
    <w:p>
      <w:r>
        <w:t>La jurisprudence relative à l'art. 355 al. 2 CPP est applicable à l'art. 356 al. 4 CPP (ATF 142 IV 158 consid. 3.5). Lorsque la partie, suisse ou étrangère n'a pas de domicile connu, ni de résidence habituelle et qu'elle a fait élection de domicile chez un avocat (art. 87 CPP), la fiction de l'art. 355 al. 2 CPP n'est pas applicable lorsque l'avocat allègue ne pas avoir pu joindre son client (arrêt du Tribunal fédéral 6B_552/2015 du 3 août 2016 consid. 2.7). En revanche, lorsqu'il ressort du dossier que ce dernier se désintéresse totalement du dossier, la disposition est applicable (arrêt du Tribunal fédéral 6B_1222/2013 du 6 févier 2014 consid. 4).</w:t>
      </w:r>
    </w:p>
    <w:p>
      <w:r>
        <w:rPr>
          <w:b/>
        </w:rPr>
        <w:t>E. 2.6</w:t>
      </w:r>
    </w:p>
    <w:p>
      <w:r>
        <w:t>En l'espèce, le mandat de comparution a été envoyé en l'Étude du conseil du recourant, adresse auprès de laquelle ce dernier a élu domicile, et en particulier pour l'envoi de communication telle que celle-ci. En outre, rien ne laisse supposer qu'une révocation ait eu lieu postérieurement. Partant, la citation à comparaître a valablement été notifiée. La citation à comparaître mentionne que la présence du recourant était obligatoire, afin d'y être entendu personnellement sur son opposition, de sorte qu'il ne pouvait se faire représenter par son conseil. A cet égard, nulle autre justification est nécessaire de la part du Tribunal. Les conséquences d'un défaut y figurent également, de sorte qu'un retrait de l'opposition par actes concluants est possible, si le comportement du prévenu dénote un désintérêt des suites de la procédure. En cessant tout contact avec son conseil courant 2019 - aucun élément probant ne permettant d'établir un empêchement non fautif -, alors que par son opposition il a souhaité que la procédure se poursuive, le recourant s'est manifestement désintéressé de la suite de celle-ci. Dans ces circonstances, force est d'admettre que la fiction de retrait de l'opposition doit s'appliquer. Partant, le recours doit être rejeté.</w:t>
      </w:r>
    </w:p>
    <w:p>
      <w:r>
        <w:rPr>
          <w:b/>
        </w:rPr>
        <w:t>E. 3</w:t>
      </w:r>
    </w:p>
    <w:p>
      <w:r>
        <w:t>Justifiée, l'ordonnance querellée sera donc confirmée.</w:t>
      </w:r>
    </w:p>
    <w:p>
      <w:r>
        <w:rPr>
          <w:b/>
        </w:rPr>
        <w:t>E. 4</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