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P/19679/2018 vom 16. August 2021</w:t>
      </w:r>
    </w:p>
    <w:p>
      <w:r>
        <w:t>GE Cour de justice, 2021-08-16, FR</w:t>
      </w:r>
    </w:p>
    <w:p>
      <w:r>
        <w:rPr>
          <w:b/>
        </w:rPr>
        <w:t xml:space="preserve">Quelle: </w:t>
      </w:r>
      <w:r>
        <w:t>https://mcp.opencaselaw.ch/entscheid/ge_gerichte_P_19679_2018</w:t>
      </w:r>
    </w:p>
    <w:p>
      <w:r>
        <w:t>FR: GE_GERICHTE P/19679/2018 du 16 août 2021</w:t>
      </w:r>
    </w:p>
    <w:p>
      <w:r>
        <w:t>IT: GE_GERICHTE P/19679/2018 del 16 agosto 2021</w:t>
      </w:r>
    </w:p>
    <w:p>
      <w:pPr>
        <w:pStyle w:val="Heading2"/>
      </w:pPr>
      <w:r>
        <w:t>Regeste</w:t>
      </w:r>
    </w:p>
    <w:p>
      <w:r>
        <w:t>MENACE(DROIT PÉNAL);ADMINISTRATION D'OFFICE DE LA SUCCESSION | CP.181; CP.22; CP.44.al1</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w:t>
      </w:r>
    </w:p>
    <w:p>
      <w:r>
        <w:rPr>
          <w:b/>
        </w:rPr>
        <w:t>E. 2</w:t>
      </w:r>
    </w:p>
    <w:p>
      <w:r>
        <w:t>2.1.1.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(art. 181 du Code pénal suisse [CP]). 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p. 20 = SJ 1989 400 ; arrêts du Tribunal fédéral 6B_1188/2017 du 5 juin 2018 consid. 3.1 ; 6B_153/2017 du 28 novembre 2017 consid. 3.1 ; 6B_8/2017 du 15 août 2017 consid. 2.1 et 2.2 ; 6B_70/2016 du 2 juin 2016 consid. 4.3.4 non publié in ATF 142 IV 315 ; 6B_750/2014 du 7 août 2015 consid. 1.1.2 ; 6S.853/2000 du 9 mai 2001 consid. 4c). 2.1.2. Le juge peut atténuer la peine si l'exécution d'un crime ou d'un délit n'est pas poursuivie jusqu'à son terme ou que le résultat nécessaire à la consommation de l'infraction ne se produit pas ou ne pouvait pas se produire (art. 22 al. 1 CP).</w:t>
      </w:r>
    </w:p>
    <w:p>
      <w:r>
        <w:rPr>
          <w:b/>
        </w:rPr>
        <w:t>E. 2.2</w:t>
      </w:r>
    </w:p>
    <w:p>
      <w:r>
        <w:t>Il est établi et non contesté que l'appelante a, le 6 août 2018, fait notifier sept commandements de payer à l'intimé pour divers montants représentant la somme totale de CHF 36'397.35, tous en relation avec la succession de sa tante. Il est également établi, sur la base de l'arrêt de la Cour de justice civile du 22 septembre 2020 devenu définitif, que ces créances sont dépourvues de fondement et que l'intimé n'est débiteur d'aucune de ces sommes envers l'appelante. A cette décision s'ajoute celle du 16 février 2017, antérieure aux commandements de payer litigieux, aux termes de laquelle l'administrateur d'office avait correctement rempli sa mission et ses honoraires étaient dus. La CPAR retiendra donc que le 6 août 2018, au moment de la notification des commandements de payer litigieux, l'appelante savait ses créances infondées, étant encore précisé que le Tribunal fédéral avait rejeté son recours contre la décision précitée le 4 avril 2017 déjà, soit plus d'une année auparavant, et qu'elle n'avait pas mis préalablement en demeure l'intimé de payer. Il apparaît de surcroît que c'est quelques semaines seulement après la réquisition de vente formée par l'intimé sur le bien immobilier séquestré que l'appelante a fait notifier ses commandements de payer. L'appelante a d'ailleurs indiqué avoir requis ces poursuites au mois de juin déjà, soit vraisemblablement immédiatement après la réquisition de vente. Enfin, l'on notera que l'appelante fait preuve de mauvaise foi en persistant dans ses démarches, malgré les multiples décisions civiles rendues en faveur de l'intimé constatant l'absence de fondement des créances alléguées. Elle a ainsi déposé une requête en mainlevée d'opposition le 3 janvier 2019, contraignant l'intimé à saisir à nouveau la justice pour faire constater l'inexistence de telles créances. Or, en dépit des décisions des 4 novembre 2019 et 22 septembre 2020 constatant que l'intimé n'était pas débiteur des sommes réclamées, l'appelante n'avait, à l'époque des débats d'appel, pas encore adressé un quelconque contrordre à l'Office des poursuites. Au vu de ce qui précède, il faut retenir que l'appelante s'est servie des commandements de payer litigieux pour faire pression sur l'intimé afin qu'il renonce au paiement de ses honoraires et retire à tout le moins la réquisition de vente sur le bien immobilier séquestré. L'infraction de contrainte n'a toutefois pas été consommée, l'intimé n'ayant pas cédé à la pression subie. C'est donc à juste titre que le TP a reconnu l'appelante coupable de tentative de contrainte (art. 22 al. 1 cum 181 CP).</w:t>
      </w:r>
    </w:p>
    <w:p>
      <w:r>
        <w:rPr>
          <w:b/>
        </w:rPr>
        <w:t>E. 3</w:t>
      </w:r>
    </w:p>
    <w:p>
      <w:r>
        <w:t>3.1. L'infraction de contrainte est réprimée d'une peine privative de liberté de trois ans au plus ou d'une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3.2.3. Selon l'art. 44 al. 1 CP, si le juge suspend totalement ou partiellement l'exécution d'une peine, il impartit au condamné un délai d'épreuve de deux à cinq ans.</w:t>
      </w:r>
    </w:p>
    <w:p>
      <w:r>
        <w:rPr>
          <w:b/>
        </w:rPr>
        <w:t>E. 3.3</w:t>
      </w:r>
    </w:p>
    <w:p>
      <w:r>
        <w:t>En l'occurrence la faute de l'appelante n'est pas négligeable. Elle s'en est prise à la liberté de l'intimé et n'a pas hésité à se servir de l'Office des poursuites et de la justice pour lui réclamer des sommes qu'elle savait indues. La collaboration de l'appelante est mauvaise, à l'instar de sa prise de conscience, qui est nulle, l'intéressée persistant à formuler de très nombreux reproches à l'encontre de l'intimé quant aux actes que celui-ci a réalisés ou aurait omis en sa qualité d'administrateur d'office, en dépit de plusieurs décisions civiles contraires rendues en la matière. La situation personnelle de l'appelante n'est pas un facteur à décharge. La peine pécuniaire fixée à 60 jours-amende est adéquate, notamment sous l'angle de la tentative, et sera confirmée. Il en va de même du montant unitaire de CHF 40.-, non contesté en tant que tel. Le principe du sursis est également acquis à l'appelante (art. 391 al. 2 CPP). Partant, le jugement entrepris sera entièrement confirmé.</w:t>
      </w:r>
    </w:p>
    <w:p>
      <w:r>
        <w:rPr>
          <w:b/>
        </w:rPr>
        <w:t>E. 4</w:t>
      </w:r>
    </w:p>
    <w:p>
      <w:r>
        <w:t>L'appelante, qui succombe, supportera les frais de la procédure envers l'Etat (art. 428 CPP), lesquels comprendront, pour la procédure d'appel, un émolument de CHF 1'800.-, le solde étant laissé à la charge de l'Etat.</w:t>
      </w:r>
    </w:p>
    <w:p>
      <w:r>
        <w:rPr>
          <w:b/>
        </w:rPr>
        <w:t>E. 5</w:t>
      </w:r>
    </w:p>
    <w:p>
      <w:r>
        <w:t>5.1.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ème éd., Bâle 2014, n. 10 ad art. 433 ; N. SCHMID / D. JOSITSCH, Schweizerische Strafprozessordnung : Praxiskommentar, 3 ème éd., Zurich 2016, n. 6 ad art. 433). Dans ce dernier cas, la partie plaignante peut être indemnisée pour les frais de défense privée en relation avec la plainte pénale (ATF 139 IV 102 consid. 4.1 et 4.3).</w:t>
      </w:r>
    </w:p>
    <w:p>
      <w:r>
        <w:rPr>
          <w:b/>
        </w:rPr>
        <w:t>E. 5.2</w:t>
      </w:r>
    </w:p>
    <w:p>
      <w:r>
        <w:t>Vu la condamnation de l'appelante, les prétentions civiles de l'intimé, qui apparaissent adéquates, seront admises à hauteur de CHF 1'884.75 correspondant à cinq heures d'activité, TVA (CHF 134.75) incluse.</w:t>
      </w:r>
    </w:p>
    <w:p>
      <w:r>
        <w:rPr>
          <w:b/>
        </w:rPr>
        <w:t>E. 6</w:t>
      </w:r>
    </w:p>
    <w:p>
      <w:r>
        <w:t>Compte tenu de l'issue du litige, les prétentions civiles de l'appelante, lesquelles n'ont par ailleurs aucunement été documentées,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