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P/19644/2018 vom 28. Januar 2021</w:t>
      </w:r>
    </w:p>
    <w:p>
      <w:r>
        <w:t>GE Cour de justice, 2021-01-28, FR</w:t>
      </w:r>
    </w:p>
    <w:p>
      <w:r>
        <w:rPr>
          <w:b/>
        </w:rPr>
        <w:t xml:space="preserve">Quelle: </w:t>
      </w:r>
      <w:r>
        <w:t>https://mcp.opencaselaw.ch/entscheid/ge_gerichte_P_19644_2018</w:t>
      </w:r>
    </w:p>
    <w:p>
      <w:r>
        <w:t>FR: GE_GERICHTE P/19644/2018 du 28 janvier 2021</w:t>
      </w:r>
    </w:p>
    <w:p>
      <w:r>
        <w:t>IT: GE_GERICHTE P/19644/2018 del 28 gennaio 2021</w:t>
      </w:r>
    </w:p>
    <w:p>
      <w:pPr>
        <w:pStyle w:val="Heading2"/>
      </w:pPr>
      <w:r>
        <w:t>Regeste</w:t>
      </w:r>
    </w:p>
    <w:p>
      <w:r>
        <w:t>CONDUITE MALGRÉ UNE INCAPACITÉ;DISPOSITIONS PÉNALES DE LA LCR;FIXATION DE LA PEINE;RECOURS JOINT;CONCOURS D'INFRACTIONS;PEINE PRIVATIVE DE LIBERTÉ;SURSIS | LCR.91.al2.letA; LCR.97.al1.letB; CP.47; CP.49; CP.42</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La Chambre limite son examen aux violations décrites dans l'acte d'appel (art. 404 al. 1 CPP), sauf en cas de décisions illégales ou inéquitables (art. 404 al. 2 CPP).</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L'effet de la peine sur l'avenir du condamné doit également être évalué.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2.1.3.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2.1.4.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2.1.5. Selon l'art. 49 al. 1 CP, 1ère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2.1.6.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 2.2.1. En l'espèce, la faute de l'appelant est loin d'être négligeable. Il a, en prenant le volant en août 2018 sous l'effet prononcé de l'alcool, pris un risque important pour la sécurité publique, alors même qu'il s'était déjà rendu coupable d'une telle infraction deux ans auparavant, ce qu'il savait pertinemment, sans que cela ne l'incite à modifier son comportement. Pour le surplus, son attitude très désinvolte vis-à-vis des dispositions en vigueur en matière de retrait de permis de circulation dénote un mépris des règles de la circulation routière. Les explications de l'appelant qui justifie globalement son comportement par des difficultés ponctuelles liées à la séparation de son couple et la survenance d'un déni " administratif " ne peuvent être que partiellement prises en compte pour expliquer mais sans toutefois aucunement justifier ses actes. Au vu de son âge et de son expérience de la vie et professionnelle, il ne pouvait que savoir que des conséquences étaient rattachées au fait d'ignorer des courriers des autorités par rapport à ses obligations de conducteur, sans qu'il ne daigne les prendre en compte, outre la récidive intervenue pour la conduite en état d'ébriété, qui n'a rien à voir avec les motifs évoqués. Son mobile est égoïste vu l'attitude dont il a fait montre lors de sa consommation d'alcool et en rapport aux autres solutions qu'il aurait d'ores et déjà pu mettre en place à l'époque des faits reprochés. Il a agi avec une grande légèreté. A______ a récidivé spécifiquement pour les deux infractions qui lui sont reprochées, ce qui entraîne une aggravation de la peine à prononcer, outre le fait que celle-ci doit déjà l'être en raison du concours. Sa collaboration à l'enquête peut être qualifiée de correcte, l'appelant admettant les faits sans fard. Au vu de ce qui précède, ses trois antécédents spécifiques témoignent d'une prise de conscience absente au moment des faits et encore trop récente pour être, à ce jour, qualifiée de complète. Le prononcé de peines pécuniaires dans le cadre de ses quatre antécédents n'ayant pas porté de fruit, seule une peine privative de liberté apparaît de nature à sensibiliser réellement l'appelant du point de vue de la prévention, comme il le concède lui-même en relevant que le jugement entrepris lui a causé un choc et une prise de conscience induisant certains changements dans son comportement. Cela étant, il paraît toujours faire preuve d'une certaine légèreté dans la gestion de ses affaires administratives, comme en témoigne le fait qu'il est toujours domicilié chez sa soeur où son courrier lui est adressé, et ceci alors que sa compagne l'a incité à régulariser la situation. Bien que la peine menace des infractions considérées soit identique, en l'espèce, l'infraction concrètement la plus grave est la conduite en état d'ébriété. A elle seule, commise en récidive, elle doit conduire au prononcé d'une peine privative de liberté de 130 jours, à laquelle s'ajoutera, en application du principe de l'aggravation, une peine privative de liberté de 70 jours pour non-restitution de permis ou de plaques commis également en récidive (peine théorique de 100 jours). L'appel du MP sera ainsi partiellement accueilli et le jugement modifié en ce sens. 2.2.2. Les antécédents de l'appelant pourraient appeler le prononcé d'une peine privative de liberté ferme, mais sa situation actuelle et l'effet de la peine sur son avenir influent en sa faveur. En effet, sa récente prise de conscience et les mesures qu'il a prises pour éviter toute récidive semblent porter leurs fruits, si l'on se réfère à l'absence de toute condamnation ultérieure, à sa renonciation actuelle à conduire, au soutien reçu de sa compagne, à sa stabilité professionnelle et les responsabilités qui lui sont confiées, outre le suivi thérapeutique qu'il a volontairement entrepris, certes récemment, mais dont il est attesté qu'il a été suivi d'effets sur son comportement. Ce sont ainsi autant d'éléments propres à lui éviter de se retrouver dans des situations où il s'est perdu même s'il lui reste encore du chemin à accomplir. Tenant compte de ce qui précède, le pronostic sur son comportement futur n'apparaît ainsi pas entièrement défavorable, de sorte qu'un sursis avec un délai d'épreuve de quatre ans, de nature à inciter l'appelant à se maintenir à l'avenir dans une voie respectueuse de la loi, sera prononcé. Compte tenu des difficultés personnelles rencontrées par l'appelant et afin de s'assurer de sa bonne adhésion à un comportement plus conforme, une assistance de probation sera ordonnée. Par ailleurs, en tant que règle de conduite durant le délai d'épreuve, un suivi thérapeutique comprenant des contrôles biologiques de sa consommation d'alcool sera ordonné, dont la fréquence et la durée seront laissées à l'appréciation de l'autorité en charge de son suivi. Le jugement entrepris sera également modifié dans le sens des considérants et l'appel admis dans la mesure de ce qui précède.</w:t>
      </w:r>
    </w:p>
    <w:p>
      <w:r>
        <w:rPr>
          <w:b/>
        </w:rPr>
        <w:t>E. 2</w:t>
      </w:r>
    </w:p>
    <w:p>
      <w:r>
        <w:t>2.1.1. Les infractions de conduite d'un véhicule en état d'ébriété (art. 91 al. 2 let. a LCR) et d'usage abusif de permis ou de plaques (art. 97 al. 1 let. b LCR) sont toutes deux punies d'une peine privative de liberté de trois ans au plus ou d'une peine pécuniaire.</w:t>
      </w:r>
    </w:p>
    <w:p>
      <w:r>
        <w:rPr>
          <w:b/>
        </w:rPr>
        <w:t>E. 3</w:t>
      </w:r>
    </w:p>
    <w:p>
      <w:r>
        <w:t>Bien qu'ayant été expressément invité à le faire, l'appelant, assisté d'une avocate, n'a émis aucune prétention d'indemnisation. Par voie de conséquence, la CPAR considérera qu'il y a renoncé (art. 429 al. 1 let. a et 2 et 436 al. 2 CPP), de sorte qu'aucune indemnité ne lui sera allouée.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Le verdict de culpabilité de l'appelant étant confirmé, il n'y a lieu de revenir sur les frais de première instance qu'en ce qui concerne l'émolument de jugement complémentaire (CHF 600.-), lequel sera mis à la charge de l'Etat de Genève. L'appelant obtenant partiellement gain de cause en appel, il assumera par moitié les frais de la procédure d'appel, comprenant un émolument d'arrêt de CHF 1'500.-, le solde étant laissé à la charge de l'Etat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