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P/19617/2016 vom 22. Mai 2018</w:t>
      </w:r>
    </w:p>
    <w:p>
      <w:r>
        <w:t>GE Cour de justice, 2018-05-22, FR</w:t>
      </w:r>
    </w:p>
    <w:p>
      <w:r>
        <w:rPr>
          <w:b/>
        </w:rPr>
        <w:t xml:space="preserve">Quelle: </w:t>
      </w:r>
      <w:r>
        <w:t>https://mcp.opencaselaw.ch/entscheid/ge_gerichte_P_19617_2016</w:t>
      </w:r>
    </w:p>
    <w:p>
      <w:r>
        <w:t>FR: GE_GERICHTE P/19617/2016 du 22 mai 2018</w:t>
      </w:r>
    </w:p>
    <w:p>
      <w:r>
        <w:t>IT: GE_GERICHTE P/19617/2016 del 22 maggio 2018</w:t>
      </w:r>
    </w:p>
    <w:p>
      <w:pPr>
        <w:pStyle w:val="Heading2"/>
      </w:pPr>
      <w:r>
        <w:t>Regeste</w:t>
      </w:r>
    </w:p>
    <w:p>
      <w:r>
        <w:t>DROIT D'ÊTRE ENTENDU ; DROIT PÉNAL ADMINISTRATIF ; RESPONSABILITÉ DE L'EMPLOYEUR(RAPPORT OBLIGATIONNEL) ; ORGANE(PERSONNE MORALE) | LEnTR.11b; LEnTR.3; Cst.29.al2; OTVM.16.letB; DPA.6; DPA.8</w:t>
      </w:r>
    </w:p>
    <w:p>
      <w:pPr>
        <w:pStyle w:val="Heading2"/>
      </w:pPr>
      <w:r>
        <w:t>Erwägungen</w:t>
      </w:r>
    </w:p>
    <w:p>
      <w:r>
        <w:rPr>
          <w:b/>
        </w:rPr>
        <w:t>E. 1</w:t>
      </w:r>
    </w:p>
    <w:p>
      <w:r>
        <w:t>1.1.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3.2.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arrêt du Tribunal fédéral 1B_24/2015 du 19 février 2015 consid. 2.1).</w:t>
      </w:r>
    </w:p>
    <w:p>
      <w:r>
        <w:rPr>
          <w:b/>
        </w:rPr>
        <w:t>E. 2.2</w:t>
      </w:r>
    </w:p>
    <w:p>
      <w:r>
        <w:t>Lorsque l'appréciation des preuves et la constatation des faits sont critiquées en référence au principe in dubio pro reo , celui-ci n'a pas de portée plus large que l'interdiction de l'arbitraire (ATF 138 V 74 consid. 7 p. 82).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2.3.1.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rPr>
          <w:b/>
        </w:rPr>
        <w:t>E. 3</w:t>
      </w:r>
    </w:p>
    <w:p>
      <w:r>
        <w:t>3.1.1. Selon l’art. 3 aLEnTR (dans sa teneur – restée identique – à l'époque des faits), l’activité d’une entreprise de transport de voyageurs et de marchandises par route est subordonnée à l’octroi d’une licence (al. 1). La licence est octroyée par l’OFT (al. 2). Chaque véhicule de l’entreprise doit être muni en permanence d’une copie certifiée de la licence (al. 3). 3.1.2. Conformément à l’art. 6d al. 1 de l'ancienne ordonnance sur la licence d'entreprise de transport de voyageurs et de marchandises par route du 1 er novembre 2000 (aOTVM ; RS 744.103), il est obligatoire de porter sur soi et de présenter aux organes de contrôle, sur demande, une copie de la licence authentifiée par l’OFT. 3.2.1. L'art. 11 let. b aLEnTR dispose qu'est puni d’une amende de CHF 10'000.- au plus toute personne qui, intentionnellement ou par négligence contrevient à une décision fondée sur la loi ou sur une disposition d’exécution et qui lui a été adressée sous la menace des sanctions du présent article. 3.2.2. A teneur de l'art. 16 let. b de l'ordonnance sur la licence d'entreprise de transport de voyageurs et de marchandises par route du 2 septembre 2015 (OTVM ; RS 744.103), sera puni de l'amende quiconque, intentionnellement ou par négligence, n'est pas porteur d'une copie authentifiée de la licence.</w:t>
      </w:r>
    </w:p>
    <w:p>
      <w:r>
        <w:rPr>
          <w:b/>
        </w:rPr>
        <w:t>E. 3.3</w:t>
      </w:r>
    </w:p>
    <w:p>
      <w:r>
        <w:t>L'art. 12 aLEnTR (dans sa teneur – restée identique – à l'époque des faits) prévoit que l’OFT est compétent pour poursuivre et juger les auteurs des infractions aux dispositions de l’art. 11 (al. 1). La procédure est régie par la DPA (al. 2).</w:t>
      </w:r>
    </w:p>
    <w:p>
      <w:r>
        <w:rPr>
          <w:b/>
        </w:rPr>
        <w:t>E. 4</w:t>
      </w:r>
    </w:p>
    <w:p>
      <w:r>
        <w:t>Selon l'art. 6 aDPA (dans sa teneur – restée identique – à l'époque des faits),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La violation d'une obligation juridique au sens de l'art.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(arrêt du Tribunal fédéral 6B_189/2009 du 20 mai 2009 consid. 3.2.3). Le comportement qui est reproché au chef d'entreprise consiste ainsi à ne pas avoir évité la commission d’une infraction par un ou plusieurs subordonnés, alors qu’il aurait pu empêcher sa survenance, s’il avait agi conformément à son devoir juridique d’agir. L’art. 6 al. 2 DPA peut être appliqué en relation avec une infraction pénale d’une loi fédérale à laquelle s’applique la DPA. Par conséquent, l’art. 6 al. 2 DPA présuppose certes la position de garant du chef d’entreprise, mais celle-ci doit être concrétisée dans chaque cas d’espèce en fonction notamment de l’infraction commise par le subordonné et les risques typiques et spécifiques de l’activité de l’entreprise (Fabio BURGENER, La responsabilité pénale de l'entreprise , RPS 133/2015, p. 377 et 387). 3.5.1. En l'occurrence, le premier juge n'a certes pas évoqué les pièces que l'appelant a produites par bordereau séparé lors de l'audience de jugement. Toutefois, à supposer que son droit d'être entendu eût ainsi été violé par le Tribunal de police, force est de constater qu'il a pu être réparé devant la cour cantonale. En effet, l'appel ayant un effet dévolutif complet, l'appelant a eu la possibilité de faire valoir ses arguments devant la CPAR. Il apparaît en outre que le vice n'est pas particulièrement grave et que le renvoi de la cause à l'instance inférieure, auquel l'appelant ne conclut au demeurant pas, constituerait une vaine formalité prolongeant la procédure de manière incompatible avec l'intérêt de l'appelant à ce que sa cause soit tranchée dans un délai raisonnable. La CPAR dispose en effet de tous les éléments lui permettant de prendre une décision au fond. Il ressort du dossier que C______ détenait 25 copies de la licence de transport pour 22 véhicules poids lourds. Il n'en découle pas automatiquement que chaque camion disposait effectivement d'un exemplaire valable de ladite copie. Preuve en est que, le 3 mars 2015, le chauffeur remplaçant n'a été en mesure que de produire une copie d'une licence de transport échue. Ni l'attestation de D______, rédigée deux ans après les faits, ni les autres pièces produites par l'appelant ne prouvent l'existence à l'intérieur du camion d'une copie de la licence en cours de validité. En particulier, le document intitulé " paiement des licences ", mentionnant la date ultérieure du 17 mars 2015 en relation avec la somme totale de CHF 800.- pour l'obtention de la licence et des copies, ne permet pas de parvenir à une autre conclusion. Il est ainsi retenu, avec le premier juge, que lors du contrôle de licence du 3 mars 2015, le chauffeur remplaçant n'a pas été en mesure de présenter une copie authentifiée valable de la licence de transport. 3.5.2. L'appelant n'effectue pas personnellement de transports de marchandises par camion et n'exploite pas à titre personnel l'entreprise de transport de marchandises. Celle-ci est exploitée par une société à responsabilité limitée qui revêt ainsi à la fois la qualité de chef de l'entreprise et d'employeur des chauffeurs. Il s'ensuit que l'on se trouve dans l'hypothèse visée par l'art. 6 al. 3 aDPA. En tant que gérant-associé et président de la société, l'appelant agissait toutefois en qualité d'organe de l'employeur. 3.5.3. Il convient donc d'examiner si l'appelant, en tant qu'organe a, par son omission, violé une obligation juridique au sens de l'art. 6 al. 2 aDPA. L'art. 3 al. 3 aLEnTR exigeant que chaque véhicule de l’entreprise doive être muni en permanence d’une copie certifiée de la licence, C______ était juridiquement tenue d'en assurer le respect. L'appelant, en tant qu'associé-gérant et président de ladite société, assumait ainsi une obligation de surveillance spécifique s'agissant de la présence de ces copies à l'intérieur des camions de la société. Certes, l'appelant a obtenu 25 copies de la licence pour 22 camions, a mis en place des procédures internes visant à instruire les chauffeurs de l'emplacement des documents nécessaires en cas de contrôle, dont la copie en question, et les a enjoints à le contacter en cas de problème. Par le passé, C______ a toutefois fait l'objet de neuf rapports de police constatant le défaut de présentation d'une copie authentifiée valable de la licence de transport, et a été sanctionnée à trois reprises, ce que l'appelant ne pouvait ignorer. Il aurait, au contraire, dû se rendre compte que les procédures mises en place jusqu'alors étaient inefficaces ou, du moins, mises en œuvre de manière insatisfaisante. Il ne suffit en effet pas de disposer d'un nombre supérieur de copies que de camions. Encore faut-il notamment maintenir la validité de la licence, distribuer les copies dans les camions, les transférer en cas de panne ou acquisition d'un nouveau véhicule, veiller à la bonne instruction de tous les chauffeurs et définir des procédures de contrôle permettant d'assurer la présence permanente des documents requis à l'intérieur des véhicules. A cet égard, il est hautement douteux que l'appelant ait pu résoudre le problème s'il avait été contacté, dans la mesure où le chauffeur remplaçant a bien été en mesure de produire une copie de la licence, celle-ci étant pourtant échue, ce qui démontre qu'il a bien cherché un document présent dans le camion. L'appelant a depuis lors modifié les procédures internes, exigeant dorénavant de chaque chauffeur qu'il atteste avoir reçu tous les documents nécessaires lors d'un contrôle. Il n'était donc pas, au moment des faits, " matériellement impossible " de prendre d'autres mesures pour assurer la présence d'une copie de la licence dans les camions. L'appelant a lui-même développé par la suite un mécanisme de contrôle supplémentaire devant lui permettre, selon lui, de satisfaire aux obligations légales de l'employeur sans qu'il ne soit nécessaire de " s'assurer tous les jours que tous les camions de C______ sont bien munis d'une copie ". Il s'ensuit que l'appelant a omis par négligence de prendre toutes les mesures nécessaires pour que chaque chauffeur soit en mesure de présenter une copie authentifiée de la licence de transport en cas de contrôle, à tout le moins le 3 mars 2015. 3.5.4. Au vu de ce qui précède, l'appelant sera reconnu coupable d'infraction à l'art. 11 let. b aLEnTR, le jugement querellé confirmé et l'appel rejeté.</w:t>
      </w:r>
    </w:p>
    <w:p>
      <w:r>
        <w:rPr>
          <w:b/>
        </w:rPr>
        <w:t>E. 4.1</w:t>
      </w:r>
    </w:p>
    <w:p>
      <w:r>
        <w:t>L'art. 2 aDPA (dans sa teneur – restée identique – à l'époque des faits) dispose que les dispositions générales du CP sont applicables aux actes réprimés par la législation administrative fédérale, à moins que la DPA ou une loi administrative spéciale n'en dispose autrement.</w:t>
      </w:r>
    </w:p>
    <w:p>
      <w:r>
        <w:rPr>
          <w:b/>
        </w:rPr>
        <w:t>E. 4.2</w:t>
      </w:r>
    </w:p>
    <w:p>
      <w:r>
        <w:t>A teneur de l'art. 52 CP, si la culpabilité de l'auteur et les conséquences de son acte sont peu importantes, l'autorité compétente renonce à le poursuivre, à le renvoyer devant le juge ou à lui infliger une peine. 4.3.1. Selon l'art. 8 aDPA (dans sa teneur – restée identique – à l'époque des faits), les amendes n'excédant pas CHF 5'000.- sont fixées selon la gravité de l'infraction et de la faute ; il n'est pas nécessaire de tenir compte d'autres éléments d'appréciation.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(ATF 141 IV 61 consid. 6.1.1 p. 66 s. ; 136 IV 55 consid. 5 p. 57 ss ; 134 IV 17 consid. 2.1 p. 19 ss ; 129 IV 6 consid. 6.1 p. 20). 4.3.2. Lorsque seules des contraventions on fait l'objet de la procédure de première instance, la cognition de la juridiction d'appel s'agissant du contrôle de la fixation de la peine correspond à celle du Tribunal fédéral. Tant que la peine prononcée par le premier juge apparaît comme défendable, aucune correction de la quotité de la peine ne sera effectuée (A. DONATSCH / T. HANSJAKOB / V. LIEBER, Kommentar zur Schweizerischen Strafprozessordnung (StPO) , 2 e éd., Zurich/Bâle/Genève 2014, n. 23 ad art. 398).</w:t>
      </w:r>
    </w:p>
    <w:p>
      <w:r>
        <w:rPr>
          <w:b/>
        </w:rPr>
        <w:t>E. 4.4</w:t>
      </w:r>
    </w:p>
    <w:p>
      <w:r>
        <w:t>Conformément à l'art. 106 al. 2 CP, le juge prononce dans son jugement, pour le cas où, de manière fautive, le condamné ne paie pas l'amende, une peine privative de liberté de substitution d'un jour au moins et de trois mois au plus.</w:t>
      </w:r>
    </w:p>
    <w:p>
      <w:r>
        <w:rPr>
          <w:b/>
        </w:rPr>
        <w:t>E. 4.5</w:t>
      </w:r>
    </w:p>
    <w:p>
      <w:r>
        <w:t>En l'espèce, la faute de l'appelant n'est pas anodine. Il n'a pas tenu compte des précédents avertissements et condamnations intervenues pour des faits similaires, ne cherchant pas à mettre en place des procédures de contrôle strictes et effectives permettant d'être en conformité avec la loi en cas d'un nouveau contrôle. Il a, au contraire, persisté à enfreindre la loi en matière de transport de marchandises, ce qui dénote en définitive un manque certain de considération pour le respect de la législation en vigueur. Il ressort de son casier judiciaire plusieurs autres antécédents liés à son activité dans le domaine du transport par route. Dans de telles circonstances, l'appelant ne pourra être mis au bénéfice de l'art. 52 CP. Les conditions personnelles et notamment financières du prévenu sont des considérations facultatives pour la fixation de l'amende en droit pénal administratif lorsque celle-ci n'excède pas CHF 5'000.-. Au vu de ce qui précède, l'amende de CHF 2'000.- prononcée par le premier juge, de même que la peine privative de liberté de substitution de vingt jours, apparaissent comme un signal clair donné à l'appelant et seront confirmées.</w:t>
      </w:r>
    </w:p>
    <w:p>
      <w:r>
        <w:rPr>
          <w:b/>
        </w:rPr>
        <w:t>E. 5</w:t>
      </w:r>
    </w:p>
    <w:p>
      <w:r>
        <w:t>L'appelant, qui succombe, supportera les frais de la procédure d'appel, qui comprennent un émolument de jugement de CHF 1'000.- (art. 428 al. 1 CPP et art. 14 al. 1 let. e du règlement fixant le tarif des frais en matière pénale du 22 décembre 2010 [RTFMP ; RS/GE E 4 10.03]).</w:t>
      </w:r>
    </w:p>
    <w:p>
      <w:r>
        <w:rPr>
          <w:b/>
        </w:rPr>
        <w:t>E. 6</w:t>
      </w:r>
    </w:p>
    <w:p>
      <w:r>
        <w:t>Vu l'issue de la procédure d'appel, les conclusions en indemnisation de l'appelant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