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P/19564/2021 vom 4. Dezember 2025</w:t>
      </w:r>
    </w:p>
    <w:p>
      <w:r>
        <w:t>GE Cour de justice, 2025-12-04, FR</w:t>
      </w:r>
    </w:p>
    <w:p>
      <w:r>
        <w:rPr>
          <w:b/>
        </w:rPr>
        <w:t xml:space="preserve">Quelle: </w:t>
      </w:r>
      <w:r>
        <w:t>https://mcp.opencaselaw.ch/entscheid/ge_gerichte_P_19564_2021</w:t>
      </w:r>
    </w:p>
    <w:p>
      <w:r>
        <w:t>FR: GE_GERICHTE P/19564/2021 du 4 décembre 2025</w:t>
      </w:r>
    </w:p>
    <w:p>
      <w:r>
        <w:t>IT: GE_GERICHTE P/19564/2021 del 4 dicembre 2025</w:t>
      </w:r>
    </w:p>
    <w:p>
      <w:pPr>
        <w:pStyle w:val="Heading2"/>
      </w:pPr>
      <w:r>
        <w:t>Regeste</w:t>
      </w:r>
    </w:p>
    <w:p>
      <w:r>
        <w:t>DIFFAMATION;IN DUBIO PRO REO;PREUVE DE LA VÉRITÉ;PREUVE LIBÉRATOIRE;TORT MORAL | CP.173; CO.49</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rPr>
          <w:b/>
        </w:rPr>
        <w:t>E. 2.2</w:t>
      </w:r>
    </w:p>
    <w:p>
      <w:r>
        <w:t>En application de l'art. 173 ch.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w:t>
      </w:r>
    </w:p>
    <w:p>
      <w:r>
        <w:rPr>
          <w:b/>
        </w:rPr>
        <w:t>E. 2.2.1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137 IV 313 consid. 2.1.1 ; 132 IV 112 consid. 2.1). Le fait d'accuser une personne d'avoir commis un crime ou un délit intentionnel entre dans les prévisions de l'art. 173 ch. 1 CP (ATF 132 IV 112 consid. 2.2 ; 118 IV 248 consid. 2b ; arrêt du Tribunal fédéral 6B_138/2008 du 22 janvier 2009 consid. 3.1).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128 IV 53 consid. 1a). La diffamation suppose une allégation de fait, et non pas un simple jugement de valeur (ATF 137 IV 313 consid. 2.1.2 et 2.1.3). Du point de vue subjectif, il suffit que l'auteur ait eu conscience du caractère attentatoire à l'honneur de ses propos et qu'il les ait néanmoins proférés ; il n'est pas nécessaire qu'il ait eu la volonté de blesser la personne visée ou porter atteinte à sa réputation (ATF 137 IV 313 consid. 2.1.2, 2.13 et 2.1.6). Le dol éventuel suffit. Peu importe que l'auteur tienne l'allégation pour vraie ou qu'il ait exprimé des doutes (M. DUPUIS / L. MOREILLON / C. PIGUET / S. BERGER / M. MAZOU / V. RODIGARI [éds], Code pénal - Petit commentaire, 2 ème éd., Bâle 2017, n. 22 ad art. 173).</w:t>
      </w:r>
    </w:p>
    <w:p>
      <w:r>
        <w:rPr>
          <w:b/>
        </w:rPr>
        <w:t>E. 2.2.2</w:t>
      </w:r>
    </w:p>
    <w:p>
      <w:r>
        <w:t>Conformément à l'art. 173 CP, même si le caractère diffamatoire des propos est établi, l'inculpé n'encourra aucune peine s'il prouve que les allégations qu'il a articulées ou propagées sont conformes à la vérité ou qu'il avait des raisons sérieuses de les tenir de bonne foi pour vraies (ch. 2).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 ATF 132 IV 112 consid. 3.1 ; 116 IV 31 consid. 3). La preuve de la vérité est apportée lorsque les allégations attentatoires à l'honneur correspondent, pour l'essentiel, à la vérité (ATF 71 IV 187 consid. 2 ; arrêts du Tribunal fédéral 6B_333/2008 du 9 mars 2009 consid. 1.3 ; 6B_461/2008 du 4 septembre 2008 consid. 3.3.2). Si les propos diffamants ont pour objet la commission d'une infraction, la preuve de la vérité ne peut, sauf exception, être apportée que par la condamnation pénale de la personne visée (ATF 132 IV 112 consid. 4.2 ; arrêts du Tribunal fédéral 6B_1461/2021 du 29 août 2022 consid. 2.1.4 ; 6B_1225/2014 du 18 janvier 2016 consid. 1.1). Que l'auteur ait été ou non dans l'erreur ne joue pas de rôle : le seul objet de la preuve est de savoir si le fait attentatoire à l'honneur est vrai ou non (M. DUPUIS / L. MOREILLON / C. PIGUET / S. BERGER / M. MAZOU / V. RODIGARI, op. cit., n. 33 ad art. 173 ; B. CORBOZ, Les infractions en droit suisse, vol. II, 3 ème éd., Berne 2010, n. 69 ad art. 173). L'auteur est de bonne foi s'il a cru à la véracité de ce qu'il disait.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 si ces éléments étaient suffisants pour croire à la véracité du propos (ATF 124 IV 149 consid. 3b ; arrêts du Tribunal fédéral 6B_777/2022 du 16 mars 2023 consid. 3.2 ; 6B_1296/2021 du 30 juin 2022 consid. 5.1.2 ; 6B_1452/2020 du 18 mars 2021 consid. 4.1). 2.3.1. En l'espèce, l'appelante prétend ne pas être l'auteur des courriers et courriels litigieux envoyés, les 16 et 17 septembre 2021, aux 15 membres du conseil d'administration, au directeur ad interim et à la directrice exécutive de D______, ainsi que des trois annexes qu'ils contenaient, à savoir le profil TWITTER de la plaignante avec la phrase dactylographiée (annexe 1), le mémorandum confidentiel du 11 juillet 2018 (annexe 2) et le courriel de P______ de E______ du 14 décembre 2019 (annexe 3). Il ressort cependant de la procédure, en particulier de l'analyse de son ordinateur, un lien particulièrement étroit et troublant entre l'appelante, ces envois anonymes et les trois pièces jointes. En premier lieu, l'adresse électronique privée de l'appelante, soit " A______@gmail.com ", est reliée à celle de diffusion des emails litigieux, soit " L______@1______.com ", puisque la première a été définie comme adresse de récupération de l'adresse " R______@1______.com ", laquelle a elle-même été utilisée comme adresse de récupération de l'adresse de diffusion. Quant aux courriers papier, ils ont été envoyés depuis M______ [GE], commune qui se trouve à quelques mètres seulement du siège de T______, son employeur. Par ailleurs, différents formats du profil TWITTER de la plaignante, strictement identique à l'annexe 1 jointe aux envois litigieux, puisque contenant la même adjonction dactylographiée relative à son licenciement, ont été retrouvés dans l'ordinateur de l'appelante, sur lequel ils ont été créés entre les 9 et 15 septembre 2021, soit très peu de temps avant leur diffusion. Les explications de la prévenue selon lesquelles son ordinateur portable aurait été " hacké ", ne sont pas crédibles, n'étant qu'une adaptation aux éléments du dossier et pour les besoins de la cause. Elle ne s'en est en effet prévalue que tardivement dans la procédure, après seulement la découverte des fichiers litigieux sur son ordinateur, alors même qu'elle avait déjà été entendue par la police et qu'elle avait pris le temps de rédiger un courrier récapitulatif à l'attention du MP. Elle n'a d'ailleurs jamais dénoncé à son employeur avoir été victime de " hacking ", mais uniquement d'une fuite de données confidentielles, ce qu'elle n'a fait qu'en juin 2024, et qui, dans tous les cas, ne saurait expliquer la présence du profil TWITTER de la plaignante sur son ordinateur. Il est par ailleurs très peu vraisemblable qu'un " hackeur " prenne le temps de créer et enregistrer des documents sur l'ordinateur de sa victime, le " hacking " consistant principalement en l'espionnage et/ou le vol de données. Si par hypothèse, les données informatiques de l'appelante avaient véritablement été manipulées dans le but de la piéger, l'on comprend mal pourquoi les courriers auraient été envoyés de manière anonyme et les courriels transmis après avoir pris le soin de dissimuler l'adresse électronique principale de diffusion. Ont par ailleurs été découverts sur l'ordinateur de la prévenue l'annexe 2, à savoir le mémorandum du 11 juillet 2018, ainsi qu'un rapport, soit le fichier " W______ Report.pdf ", bien qu'il s'agisse de documents strictement confidentiels, quoi qu'elle prétende, relatifs à une enquête interne menée au sein de E______ contre deux employés reconnaissables. Si l'appelante admet avoir été en possession de ces documents, elle n'explique pas comment le mémorandum lui aurait été transmis ni par qui, hormis qu'il s'agirait d'un employé de T______, alors qu'il ressort des propriétés de ce fichier que Q______, marié à l'une de ses proches amies et consultant chez E______, l'aurait créé. Quant au rapport W______, il lui aurait lui aussi été miraculeusement envoyé de manière anonyme. La prévenue a également spontanément produit l'annexe 3, soit le courriel de P______ du 14 décembre 2019, alors qu'il s'agit encore une fois d'un document qui n'avait pas vocation à être rendu public, tout comme le courriel de V______ de E______ du 20 juin 2019, relatant les résultats de l'enquête menée à l'encontre de B______ et F______. Enfin, la prévenue a fait de nombreuses recherches internet sur la plaignante et admet avoir utilisé ses découvertes dans le cadre de sa procédure de divorce. Si l'on comprend mal le lien entre les biens immobiliers de sa rivale et ses propres revendications matrimoniales, cette attitude met en lumière son vif intérêt, voire son obsession, découlant vraisemblablement de sa relation conflictuelle avec la maîtresse de son époux. Par conséquent, compte tenu notamment du fait que les courriels litigieux ont été diffusés par une adresse électronique reliée à celle de la prévenue et que les trois annexes ont été retrouvées en possession de cette dernière, en particulier le profil TWITTER avec l'adjonction incriminée découvert sur son ordinateur, sans qu'il n'existe aucune autre hypothèse raisonnable que celle de sa culpabilité, la Cour a acquis l'intime conviction que l'appelante est bel et bien l'auteur des documents transmis les 16 et 17 septembre 2021. 2.3.2. Les propos ajoutés sur le profil TWITTER de la plaignante, qu'il convient également d'examiner à l'aune des autres documents annexés, évoquent dans l'esprit d'un lecteur non prévenu, l'accusation de détournement de fonds et d'autres fautes professionnelles, en particulier un comportement sexuel inapproprié avec un autre employé, F______, agissements suffisamment graves pour justifier le licenciement immédiat de l'intéressée. Ces éléments pris dans leur ensemble font objectivement comprendre que l'intimée contreviendrait aux lois pénales [les faits seraient punissables, au sens du droit suisse, des chef d'abus de confiance (art. 138 CP) ou de gestion déloyale (158 CP)], ainsi qu'à ses obligations découlant de son contrat de travail et qu'elle serait, partant, dépourvue de sens moral, ce qui la rend méprisable comme être humain, même si ces propos sont articulés dans un cadre professionnel (ATF 116 IV 205 consid. 2 = JdT 1992 IV 107 ; 103 IV 161 consid. 2 = JdT 1978 IV 148 ; arrêt du Tribunal fédéral 6B_226/2019 du 29 mars 2019 consid. 3.3). Soutenir que la plaignante a été licenciée pour fraudes financières et mauvaise conduite est une allégation de fait et non un jugement de valeur, dès lors que cette accusation ne contient pas d'invective et n'est pas non plus un terme grossier dont il conviendrait de déterminer s'il est propre à attaquer la victime dans son honneur. 2.3.3. Ces courriers et courriels ont été envoyés aux 15 membre du conseil d'administration, au directeur ad interim et à la directrice exécutive de D______, soit des tiers, au sens de l'art. 173 CP. La personne visée est clairement identifiable, puisqu'en plus de ses nom et prénom, les courriers et courriels contiennent le profil TWITTER de l'intimée avec sa photographie. 2.3.4. L'appelante ne pouvait ignorer qu'accuser une personne de la commission d'une infraction pénale et de graves fautes professionnelles ayant entraîné la fin de ses rapports de travail était propre à attenter à son honneur, peu importe qu'elle ait eu ou non la volonté de la blesser. L'élément subjectif est réalisé. 2.3.5. En conclusion, les propos litigieux sont attentatoires à l'honneur. Les conditions d'application de l'art. 173 ch. 1 CP sont réunies. 2.3.6. L'appelante ne sera pas admise à la preuve libératoire. Il est en effet manifeste qu'elle a non seulement agi dans le but de nuire à la plaignante auprès de son nouvel employeur, vraisemblablement par vengeance, mais également sans motif suffisant. Cela est d'autant plus vrai qu'elle se prévaut de la publicité de ses propos, ce qui est en partie démontré par les articles de presse versés à la procédure, qui contiennent d'ailleurs pour certains la photographie de l'intimée. Il n'existait ainsi aucun motif suffisant, d'ordre privé, voire relevant de l'intérêt public, de diffuser des faits d'ores et déjà partiellement médiatisés autre que la seule volonté de porter atteinte de manière crasse à l'avenir professionnel de sa rivale, étant précisé que la jurisprudence admet la diffamation même si le destinataire connaissait déjà le fait allégué (ATF 118 IV 153 consid. 4 ; 73 IV 27 consid. 1). Consciente de ce qui précède, l'appelante a d'ailleurs choisi l'anonymat pour partager ses propos attentatoires. 2.3.7. Quoi qu'il en soit, les jugements n. 3______ et 4______ du X______ rendus dans le cadre d'une procédure administrative contre l'intimée ne sauraient constituer la preuve de sa condamnation pénale, ni même celle de la bonne foi de la prévenue, qui n'a eu connaissance de ces décisions qu'en 2024, soit bien après septembre 2021. Par ailleurs, compte tenu du caractère conditionnel du mémorandum (" they may have " ; annexe 2) et de celui révocable de la décision de licenciement, tel que cela ressort du courriel de P______ (annexe 3), l'appelante ne saurait prouver avoir cru à la véracité de ses propos à l'époque de ses déclarations. 2.3.8. Compte tenu de ce qui précède, le verdict de culpabilité de chef de diffamation rendu à l'encontre de la prévenue doit être confirmé et son appel rejeté.</w:t>
      </w:r>
    </w:p>
    <w:p>
      <w:r>
        <w:rPr>
          <w:b/>
        </w:rPr>
        <w:t>E. 3.1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L'appelante ne conteste pas la nature de la peine dans l'hypothèse d'une confirmation du verdict de culpabilité. La fixation de la peine dans le jugement rendu par le TP consacre une application correcte des critères fixés à l'art. 47 CP, en particulier la gravité de la faute et la situation personnelle, de sorte qu'il peut être renvoyé à son exposé des motifs, que la CPAR fait sien (art. 82 al. 4 CPP ; ATF 141 IV 244 consid. 1.2.3). Malgré les charges pesant sur elle, l'appelante a tenté de convaincre avoir elle-même été victime d'un piratage informatique. La peine de 60 jours-amende est appropriée, tout comme le montant de CHF 150.- l'unité qui est adéquat. Le bénéfice du sursis est enfin acquis à l'appelante (art. 391 al. 2 CPP). Le jugement entrepris sera par conséquent entièrement confirmé.</w:t>
      </w:r>
    </w:p>
    <w:p>
      <w:r>
        <w:rPr>
          <w:b/>
        </w:rPr>
        <w:t>E. 4</w:t>
      </w:r>
    </w:p>
    <w:p>
      <w:r>
        <w:t>4.1.1. 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 4.1.2. En vertu de l'art. 41 al. 1 de la loi fédérale complétant le Code civil suisse (CO, Code des obligations), celui qui cause, d'une manière illicite, un dommage à autrui, soit intentionnellement, soit par négligence ou imprudence, est tenu de le réparer.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prévenu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w:t>
      </w:r>
    </w:p>
    <w:p>
      <w:r>
        <w:rPr>
          <w:b/>
        </w:rPr>
        <w:t>E. 4.2</w:t>
      </w:r>
    </w:p>
    <w:p>
      <w:r>
        <w:t>En l'espèce, il est incontestable que la plaignante a subi une atteinte illicite à sa personnalité à la suite des faits. Elle n'a certes produit aucune pièce à l'appui de ses prétentions en couverture de son tort moral. Elle n'a pas moins fait état de sa souffrance face aux agissements de la prévenue. La nature des propos tenus était en effet propre à remettre en question la pertinence de son engagement mais également de nature à jeter des doutes sur son intégrité tant personnelle que professionnelle. Même en l'absence de pièces attestant des conséquences de l'infraction sur la plaignante, l'atteinte à sa personnalité et ses souffrances sont patentes. Le fait qu'elle a pu être quand bien même affectée par une situation de harcèlement sexuel vécue au sein de E______ n'y enlève rien. La prétention civile de la plaignante en réparation de son tort moral sera ainsi admise, mais dans une moindre mesure car devant demeurer proportionnée au regard de l'ensemble des circonstances. Pour ces raisons, A______ sera condamnée à verser à la plaignante CHF 500.- à titre de réparation de son tort moral, avec intérêts à 5% l'an dès le 16 septembre 2021.</w:t>
      </w:r>
    </w:p>
    <w:p>
      <w:r>
        <w:rPr>
          <w:b/>
        </w:rPr>
        <w:t>E. 5</w:t>
      </w:r>
    </w:p>
    <w:p>
      <w:r>
        <w:t>La restitution ordonnée par le premier juge sera confirmée.</w:t>
      </w:r>
    </w:p>
    <w:p>
      <w:r>
        <w:rPr>
          <w:b/>
        </w:rPr>
        <w:t>E. 6</w:t>
      </w:r>
    </w:p>
    <w:p>
      <w:r>
        <w:t>6.1. L'appel joint ayant été partiellement admis, l'appelante, qui succombe intégralement, supportera 90% des frais de la procédure envers l'État, comprenant un émolument de jugement de CHF 2'000.-, et l'appelante jointe les 10% restants.</w:t>
      </w:r>
    </w:p>
    <w:p>
      <w:r>
        <w:rPr>
          <w:b/>
        </w:rPr>
        <w:t>E. 6.2</w:t>
      </w:r>
    </w:p>
    <w:p>
      <w:r>
        <w:t>Le verdict de culpabilité étant inchangé, il n'y a pas lieu de revoir la répartition des frais de la procédure préliminaire et de première instance.</w:t>
      </w:r>
    </w:p>
    <w:p>
      <w:r>
        <w:rPr>
          <w:b/>
        </w:rPr>
        <w:t>E. 7</w:t>
      </w:r>
    </w:p>
    <w:p>
      <w:r>
        <w:t>La condamnation de l'appelante étant confirmée, elle sera déboutée de ses conclusions en indemnisation (art. 429 al. 1 CPP)</w:t>
      </w:r>
    </w:p>
    <w:p>
      <w:r>
        <w:rPr>
          <w:b/>
        </w:rPr>
        <w:t>E. 8</w:t>
      </w:r>
    </w:p>
    <w:p>
      <w:r>
        <w:t>8.1.1.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 ème éd., Bâle 2014, n. 10 ad art. 433 ; N. SCHMID, Schweizerische Strafprozessordnung : Praxiskommentar, 2 ème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 décision sur les frais préjuge de la question de l'indemnisation (ATF 145 IV 268 consid. 1.2 ; 144 IV 207 consid. 1.8.2). 8.1.2. La Cour de justice applique au chef d'étude un tarif horaire entre CHF 400.- et CHF 450.- (arrêt du Tribunal fédéral 2C_725/2010 du 31 octobre 2011 = SJ 2012 I 172 ; ACPR/279/2014 du 27 mai 2014) ou de CHF 400.- ( ACPR/282/2014 du 30 mai 2014). Elle retient un taux horaire de CHF 350.- pour les collaborateurs et de CHF 150.- pour les stagiaires ( AARP/65/2017 du 23 février 2017). 8.1.3. L'avocat mandaté par un client domicilié à l'étranger ne peut pas facturer de montant au titre de la TVA (ATF 141 IV 344 a contrario).</w:t>
      </w:r>
    </w:p>
    <w:p>
      <w:r>
        <w:rPr>
          <w:b/>
        </w:rPr>
        <w:t>E. 8.2</w:t>
      </w:r>
    </w:p>
    <w:p>
      <w:r>
        <w:t>En l'espèce, l'indemnité sollicitée en première instance se fonde sur un tarif horaire de CHF 500.- pour le chef d'étude, de CHF 450.- pour le collaborateur et de CHF 250.- pour le stagiaire, qui doit être ramené aux montants admis par la jurisprudence. Par ailleurs, la plaignante est forclose à solliciter l'indemnisation de ses frais de défense pour la procédure de recours devant la CPR, dès lors qu'elle ne l'a ni chiffrée ni a fortiori justifiée par devant cette autorité (art. 433 al. 2 CPP ; arrêt du Tribunal fédéral 6B_1345/2016 du 30 novembre 2017 consid. 7.2 ; ACPR/761/2025 du 23 septembre 2025 consid. 5). Pour le surplus, l'activité facturée paraît adéquate et conforme à la pratique constante de la Cour. Par conséquent, l'indemnité due à la partie plaignante sera arrêtée à CHF 13'056.40 correspondant à 6h10 d'activité au tarif de CHF 450.-/heure (CHF 2'775.-), 22h50 à celui de CHF 350.-/heure (CHF 7'991.70), 11h55 à celui de CHF 150.- (CHF 1'787.50) et 4% de frais (CHF 502.20).</w:t>
      </w:r>
    </w:p>
    <w:p>
      <w:r>
        <w:rPr>
          <w:b/>
        </w:rPr>
        <w:t>E. 8.3</w:t>
      </w:r>
    </w:p>
    <w:p>
      <w:r>
        <w:t>En appel, la partie plaignante supportant 10% frais et ayant obtenu partiellement gain de cause, son indemnité sera réduite en conséquence. L'activité facturée apparaît adéquate et proportionnée à l'importance et à la difficulté de la cause ainsi qu'à la durée de la procédure, hormis les tarifs horaires du chef d'étude et de son collaborateur qui seront ramenés aux montants admis par la jurisprudence. Ainsi, l'activité retenue s'élève à CHF 2'288.-, correspondant à 1h00 d'activité au tarif de CHF 450.-/heure (CHF 450.-) et 5h00 à celui de CHF 350.-/heure (CHF 1'750.-), plus 4% de frais (CHF 88.-). C'est ainsi une indemnité de CHF 2'059.20 (CHF 2'288.- – 10%) qui sera allouée à la partie plaignante, à la charge de la prévenue.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