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P/19545/2019 vom 21. April 2020</w:t>
      </w:r>
    </w:p>
    <w:p>
      <w:r>
        <w:t>GE Cour de justice, 2020-04-21, FR</w:t>
      </w:r>
    </w:p>
    <w:p>
      <w:r>
        <w:rPr>
          <w:b/>
        </w:rPr>
        <w:t xml:space="preserve">Quelle: </w:t>
      </w:r>
      <w:r>
        <w:t>https://mcp.opencaselaw.ch/entscheid/ge_gerichte_P_19545_2019</w:t>
      </w:r>
    </w:p>
    <w:p>
      <w:r>
        <w:t>FR: GE_GERICHTE P/19545/2019 du 21 avril 2020</w:t>
      </w:r>
    </w:p>
    <w:p>
      <w:r>
        <w:t>IT: GE_GERICHTE P/19545/2019 del 21 aprile 2020</w:t>
      </w:r>
    </w:p>
    <w:p>
      <w:pPr>
        <w:pStyle w:val="Heading2"/>
      </w:pPr>
      <w:r>
        <w:t>Regeste</w:t>
      </w:r>
    </w:p>
    <w:p>
      <w:r>
        <w:t>SUSPENSION DE LA PROCÉDURE;INFRACTIONS CONTRE L'HONNEUR;PREUVE LIBÉRATOIRE | CP.314.al1.letb; CP.173</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prévenue, ou à tout le moins de l'association dont il est organe,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conclusion tendant à la jonction des procédures P/19545/2019 et P/1______/2019 sera rejetée, puisqu'elle excède l'objet du recours, limité, par l'ordonnance querellée, à la question de la suspension de la première de ces procédures.</w:t>
      </w:r>
    </w:p>
    <w:p>
      <w:r>
        <w:rPr>
          <w:b/>
        </w:rPr>
        <w:t>E. 4.1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d'une procédure pénale peut notamment se justifier à la suite d'une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(A. KUHN / Y. JEANNERET / C. PERRIER DEPEURSINGE (éds), Commentaire romand : Code de procédure pénale suisse , 2 e éd. Bâle 2019, n. 14a ad art. 314).</w:t>
      </w:r>
    </w:p>
    <w:p>
      <w:r>
        <w:rPr>
          <w:b/>
        </w:rPr>
        <w:t>E. 4.2</w:t>
      </w:r>
    </w:p>
    <w:p>
      <w:r>
        <w:t>En l'espèce, la recourante ne conteste pas que l'issue de la procédure P/1______/2019, ouverte ensuite de sa plainte pénale, concerne des faits si ce n'est identiques, à tout le moins analogues à ceux que l'intimée estime être attentatoires à son honneur, voire constitutifs de dénonciation calomnieuse, et qui font l'objet de la présente procédure. Dès lors, il est nécessaire de connaître le sort de cette première procédure pour juger de la réalité des accusations que la recourante aurait propagées, voire lui permettre, cas échéant, d'apporter la preuve de la vérité de celles-ci, en tant que fait libératoire (art. 173 ch. 2 CP). Cette circonstance justifie le prononcé de la suspension de la procédure. Pour seul argument, la recourante se plaint de ce que cette preuve libératoire sera établie dans une procédure, la P/1______/2019, dans laquelle elle n'a pas la qualité de partie. Ce faisant, elle cherche en réalité à remettre en question l'ordonnance lui refusant la qualité de partie plaignante dans cette procédure, qui n'est pas l'objet du recours. On peut ajouter que la véracité des allégations proférées n'est pas altérée du seul fait que la recourante ne revêt pas la qualité de partie dans la P/1______/2019. Cela étant, ses craintes de se voir condamnée pour atteinte à l'honneur sans avoir pu exercer " tous les droits à sa disposition selon le CPP " ne sont pas fondées : il n'y a aucune raison de penser que ses droits de partie, notamment son droit d'être entendue, ne seront pas garantis par le Ministère public dans le cadre de la présente procédure, une fois la reprise de celle-ci ordonnée, ni qu'elle sera empêchée de faire valoir ses " pleins moyens de défense procéduraux ".</w:t>
      </w:r>
    </w:p>
    <w:p>
      <w:r>
        <w:rPr>
          <w:b/>
        </w:rPr>
        <w:t>E. 5</w:t>
      </w:r>
    </w:p>
    <w:p>
      <w:r>
        <w:t>Justifiée, l'ordonnance querellée sera donc confirmée.</w:t>
      </w:r>
    </w:p>
    <w:p>
      <w:r>
        <w:rPr>
          <w:b/>
        </w:rPr>
        <w:t>E. 6</w:t>
      </w:r>
    </w:p>
    <w:p>
      <w:r>
        <w:t>La recourante, qui succombe, supportera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