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P/19514/2013 vom 8. November 2015</w:t>
      </w:r>
    </w:p>
    <w:p>
      <w:r>
        <w:t>GE Cour de justice, 2015-11-08, FR</w:t>
      </w:r>
    </w:p>
    <w:p>
      <w:r>
        <w:rPr>
          <w:b/>
        </w:rPr>
        <w:t xml:space="preserve">Quelle: </w:t>
      </w:r>
      <w:r>
        <w:t>https://mcp.opencaselaw.ch/entscheid/ge_gerichte_P_19514_2013</w:t>
      </w:r>
    </w:p>
    <w:p>
      <w:r>
        <w:t>FR: GE_GERICHTE P/19514/2013 du 8 novembre 2015</w:t>
      </w:r>
    </w:p>
    <w:p>
      <w:r>
        <w:t>IT: GE_GERICHTE P/19514/2013 del 8 novembre 2015</w:t>
      </w:r>
    </w:p>
    <w:p>
      <w:pPr>
        <w:pStyle w:val="Heading2"/>
      </w:pPr>
      <w:r>
        <w:t>Regeste</w:t>
      </w:r>
    </w:p>
    <w:p>
      <w:r>
        <w:t>IN DUBIO PRO REO; DÉTENTION DE STUPÉFIANTS; NOTIFICATION PAR VOIE OFFICIELLE; AVOCAT; HONORAIRES; ASSISTANCE JUDICIAIRE | LStup.19.1; CPP.87; CPP.88; CPP.135</w:t>
      </w:r>
    </w:p>
    <w:p>
      <w:pPr>
        <w:pStyle w:val="Heading2"/>
      </w:pPr>
      <w:r>
        <w:t>Erwägungen</w:t>
      </w:r>
    </w:p>
    <w:p>
      <w:r>
        <w:rPr>
          <w:b/>
        </w:rPr>
        <w:t>E. 1</w:t>
      </w:r>
    </w:p>
    <w:p>
      <w:r>
        <w:t>L'appel du prévenu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Selon l'art. 10 al. 2 CPP, le tribunal apprécie librement les preuves recueillies selon l'intime conviction qu'il retire de l'ensemble de la procédure, de sorte qu'il y a lieu de considérer que les déclarations d'un prévenu jugé par voie de procédure simplifiée n'ont que la valeur d'une preuve parmi d'autres ( ACPR/213/2013 du 13 mai 2013).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du Tribunal fédéral 6B_109/2014 du 25 septembre 2014 consid. 2.1, 6B_118/2009 du 20 décembre 2011 consid. 7.2.2 non reproduit in ATF 138 I 97 ). 2.2.1. Le premier juge n'ayant retenu la culpabilité de l'appelant que du chef de détention de stupéfiants, seule cette question peut rester ouverte en raison de l'interdiction de la reformatio in pejus . 2.2.2. En l'espèce, les explications variées de l'appelant s'agissant des circonstances dans lesquelles il a rencontré D______ et s'est retrouvé dans le hall d'immeuble ne sont pas crédibles et du reste infirmées par son comparse. L'appelant a soutenu avoir contacté ce dernier pour qu'il lui indique une pizzeria, de sorte qu'il parait peu plausible qu'il l'ait croisé de manière fortuite à proximité de l'établissement indiqué. Cette hypothèse est d'autant moins crédible que l'appelant vit à Genève depuis de nombreuses années, ce qui rend douteux le fait qu'il ne sache pas où trouver une pizzeria de qualité. L'explication de l'appelant, selon laquelle, il aurait suivi D______ dans le hall d'immeuble pour discuter sans attirer l'attention de la police n'emporte pas plus la conviction, tant il apparait incohérent qu'il ait préféré laisser sa commande en suspens et suivre son comparse plutôt que de demeurer à couvert, dans l'établissement. Les déclarations de l'appelant selon lesquelles D______ lui aurait lancé la plaquette de haschich à l'arrivée de la police ne sauraient pas d'avantage être suivies. On comprend mal que ce dernier ait préféré donner la plaquette à l'appelant plutôt que de la lancer dans la cage d'escalier comme il l'a fait par la suite. Le premier juge souligne à juste titre qu'il est également improbable que D______, qui avait pris soin de dissimuler son stock de drogue, se soit trouvé porteur d'une plaquette de haschich s'il n'avait compté la vendre à l'appelant. Au moment de l'interpellation, l'intéressé avait demandé à D______ de se montrer discret lorsqu'il lui avait transmis la drogue, ce qui prouve une nouvelle fois son implication et dément la version selon laquelle il serait la victime de ses manigances. L'ensemble des éléments figurant au dossier démontre plutôt que l'appelant s'est rendu dans le hall d'entrée pour se procurer des stupéfiants auprès de D______. Au moment de l'interpellation, l'appelant était en possession d'une barrette de haschich de 100 grammes présentant la même marque distinctive que la drogue dissimulée dans le caisson d'extincteur et sur laquelle l'ADN de D______ a été identifié. La somme de CHF 460.- dont ce dernier était porteur est compatible avec l'existence d'une transaction puisque, comme le souligne le premier juge, la drogue échangée entre grossistes et revendeurs est monnayée à un prix inférieur à celui du marché et il est fréquent que le prix soit avancé aux revendeurs qui le remboursent une fois la drogue écoulée. Par conséquent, bien que la somme trouvée en possession de D______ soit inférieure à la valeur marchande de la plaquette, cet élément ne saurait le disculper. En définitive, l'appelant admet que les éléments du dossier lui sont défavorables, justifiant son innocence par sa présence aux débats d'appel, ce qui n'est guère suffisant. Au vu de ce qui précède, le jugement dont est appel sera donc confirmé en ce qu'il reconnait l'appelant coupable d'infraction à l'art. 19 al. 1 LStup.</w:t>
      </w:r>
    </w:p>
    <w:p>
      <w:r>
        <w:rPr>
          <w:b/>
        </w:rPr>
        <w:t>E. 3</w:t>
      </w:r>
    </w:p>
    <w:p>
      <w:r>
        <w:t>3.1.1. L'infraction à l'art. 19 al. 1 LStup est passible d'une peine privative de liberté de trois ans au plus ou d'une peine pécuniaire, celles réprimées à l'art. 115 al. 1 LETr d'une peine privative de liberté d'un an au plus ou d'une peine pécuniaire. 3.1.2.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3.2.1. En l'espèce, la faute de l'appelant n'est pas anodine. Il a fait fi des normes en vigueur en acquérant des stupéfiants et en demeurant en Suisse sans les autorisations nécessaires alors qu'il faisait déjà l'objet d'une interdiction d'entrée sur le territoire. Sa collaboration à la procédure a été médiocre. Il a certes immédiatement reconnu résider illégalement en Suisse, ce qu'il pouvait au demeurant difficilement contester ayant été interpellé sur le territoire où il séjourne sans droit. En revanche, il a nié tout au long de la procédure avoir acquis des stupéfiants malgré la drogue trouvée sur lui lors de l'interpellation. Aucune des circonstances atténuantes prévues par l'art. 48 CP n'est réalisée, ni d'ailleurs plaidée. Il y a concours d'infractions. Les antécédents de l'appelant sont mauvais et spécifiques, ce qui indique qu'il n'a nullement pris conscience du caractère répréhensible de ses actes. Sa situation personnelle, bien que précaire, ne peut être retenue comme élément à décharge puisqu'elle découle de sa persévérance à continuer à séjourner illégalement en Suisse. Compte tenu de la situation administrative irrégulière de l'appelant en Suisse et des multiples condamnations à des peines privatives de liberté purgées sans effet dissuasif, aussi bien le travail d'intérêt général qu'une peine pécuniaire sont exclus, de sorte qu'il doit être condamné à une peine privative de liberté. Au regard de l'ensemble de ces éléments, la courte peine privative de liberté fixée à quatre mois fermes par le tribunal de première instance est adéquate et correspond à la faute de l'appelant, étant précisé que la directive sur le retour 2008/115/CE ne trouve pas application vu la commission conjointe d'une infraction à la LStup. 3.2.2. Le jugement dont est appel sera donc entièrement confirmé.</w:t>
      </w:r>
    </w:p>
    <w:p>
      <w:r>
        <w:rPr>
          <w:b/>
        </w:rPr>
        <w:t>E. 4</w:t>
      </w:r>
    </w:p>
    <w:p>
      <w:r>
        <w:t>4.1.1. À teneur de l'art 426 al.1 CPP, le prévenu supporte les frais de procédure s'il est condamné. 4.2.1. Selon l'art. 87 al. 1 CPP, toute communication doit être notifiée au domicile, au lieu de résidence habituelle ou au siège du destinataire. La sécurité du droit et le principe d'économie de procédure imposent à la personne qui se sait partie à une procédure de prendre les mesures pour être atteignable et d'en supporter, le cas échéant, les conséquences (cf. ATF 138 III 225 consid. 3.1 p. 227 ; ATF 130 III 396 consid. 1.2.3 p. 399 ; arrêt du Tribunal fédéral 2C_1015/2011 du 12 octobre 2012 consid. 3.3.1). L'art. 87 al. 1 CPP ne saurait dès lors être interprété comme interdisant à une partie d'indiquer aux autorités judiciaires une autre adresse que celles mentionnées dans cette disposition. Cette appréciation est appuyée par l'art. 86 CPP qui permet, en procédure pénale également, de notifier toute communication à l'adresse électronique choisie par son destinataire, lorsque celui-ci consent à un tel mode de notification. On ne voit pas que le destinataire d'un acte puisse choisir une adresse électronique à laquelle il veut être atteint, mais non une adresse postale à cette fin. Dès lors que le destinataire a le droit d'indiquer une autre adresse de notification que son domicile ou sa résidence habituelle, il a le droit que les notifications se fassent à l'adresse communiquée. Est toutefois réservée l'hypothèse où la notification à l'adresse indiquée serait sensiblement plus compliquée que celle à l'un des lieux mentionnés à l'art. 87 al. 1 CPP (ATF 139 IV 228 consid. 1.2 p. 230 = SJ 2014 I 65). Si les parties sont pourvues d'un conseil juridique, les communications sont valablement notifiées à celui-ci (art. 87 al. 3 CPP). Toutefois, lorsqu'une partie est tenue de comparaître personnellement à une audience, la communication doit lui être adressée directement, copie étant adressée à son conseil juridique (art. 87 al. 4 CPP ; ACPR/148/2013 du 17 avril 2013), étant précisé qu'une personne sans domicile fixe ayant fait élection de domicile en l'étude de son avocat peut se faire notifier celle-ci à l'adresse de son défenseur (ACPR 310/2014 du 23 juin 2014 consid. 3 a contrario et ACPR 364/2013 du 2 août 2013 consid. 3.2 a contrario ) 4.2.2. L'art. 88 al. 1 CPP permet la notification édictale, notamment, lorsque le lieu de séjour du destinataire est inconnu et n'a pas pu être déterminé en dépit des recherches qui peuvent raisonnablement être exigées (let. a) et lorsqu'une notification est impossible ou ne serait possible que moyennant des démarches disproportionnées (let. b). Dans ce cas, la notification est réputée avoir eu lieu le jour de sa publication (art. 88 al. 2 CPP). Pour qu'une notification soit impossible ou disproportionnée au sens de l'art. 88 al. 1 let. b CPP, il faut que le destinataire soit injoignable et introuvable (M. Niggli / M. Heer / H. Wiprächtiger, Schweizerische Strafprozessordnung / Schweizerische Jugendstrafprozessordnung, Basler Kommentar StPO/JStPO , Bâle 2011, n. 5 ad art. 88), par exemple en se soustrayant systématiquement aux tentatives de notification (A. Kuhn / Y. Jeanneret (éds), Commentaire romand : Code de procédure pénale suisse , Bâle 2011, n. 13 ad art. 88).</w:t>
      </w:r>
    </w:p>
    <w:p>
      <w:r>
        <w:rPr>
          <w:b/>
        </w:rPr>
        <w:t>E. 4.3</w:t>
      </w:r>
    </w:p>
    <w:p>
      <w:r>
        <w:t>En l'espèce, l'appelant a déclaré faire élection de domicile en l'étude de son défenseur qui l'a fait savoir le 28 janvier 2014. En procédant de la sorte, il a satisfait à son devoir de se rendre atteignable. Partant, c'est à tort que le Tribunal de police a usé de la publication officielle qui constitue l'ultima ratio des moyens de notifications, plutôt que d'envoyer le mandat de comparution au domicile désigné, ce qui a causé un coût inutile qui ne saurait être mis à la charge de l'appelant. L'appel sera admis dans cette mesure, les frais de notification par voie édictale étant laissés à la charge de l'Etat. Au surplus l'appelant qui succombe supportera les frais de première instance et d'appel (art. 428 CPP).</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5.2.4.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 5.2.5. Selon l'art. 17 RAJ, l'état de frais doit détailler, par rubriques, les activités donnant lieu à indemnisation, avec indication du temps consacré, et les justificatifs doivent être joints. 5.2.6.1. Il faut tenir compte, pour apprécier le temps adéquat pour la préparation de l'audience de jugement ou d'appel, des circonstances du cas, notamment du temps déjà précédemment passé sur le dossier AARP/198/2015 du 31 mars 2015 ; AARP/433/2014 du 7 octobre 2014). 5.2.6.2. Le temps d'attente entre l'heure de la convocation et le début de l'audience est indemnisé par l'assistance juridique. 5.3.1. En l'occurrence, le défenseur d'office a certes omis de déposer son état de frais complémentaire lors de l'audience de jugement. Pour autant, le premier juge n'en aurait pas moins dû estimer le temps nécessaire à la préparation de l'audience et indemniser également celui de la présence de l'avocat à ladite audience, soit 80 minutes. S'agissant d'un dossier peu volumineux, qui ne présentait aucune difficulté particulière au plan juridique, et que le défenseur d'office devait bien connaître, pour l'avoir suivi durant l'instruction préliminaire déjà et y avoir consacré les 6 heures 15 admises par le premier juge, la CPAR retiendra que deux heures auraient été suffisantes à la préparation, auxquelles il convient, comme déjà dit, d'ajouter les 80 minutes de l'audience elle-même. L'appel du défenseur d'office sera par conséquent admis dans cette limite, l'indemnité étant portée à CHF 2'225,20 pour 10 heures 35 minutes d'activité, majoration forfaitaire de 20% et TVA au taux de 8% comprise. 5.3.2. En ce qui concerne l'activité déployée devant la juridiction d'appel, la CPAR admettra les 90 minutes portées par le défenseur d'office à son état de frais au titre de la préparation des débats d'appel et de la plaidoirie, auxquelles il convient d'ajouter la durée de l'audience, par 40 minutes, la majoration forfaitaire 20% et la TVA au taux de 8%. En revanche la rédaction des conclusions en indemnisation et d'une réquisition de preuve est couverte par ladite majoration forfaitaire. L'indemnité pour la procédure d'appel sera partant arrêtée à CHF 561,20.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