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P/19459/2014 vom 24. August 2016</w:t>
      </w:r>
    </w:p>
    <w:p>
      <w:r>
        <w:t>GE Cour de justice, 2016-08-24, FR</w:t>
      </w:r>
    </w:p>
    <w:p>
      <w:r>
        <w:rPr>
          <w:b/>
        </w:rPr>
        <w:t xml:space="preserve">Quelle: </w:t>
      </w:r>
      <w:r>
        <w:t>https://mcp.opencaselaw.ch/entscheid/ge_gerichte_P_19459_2014</w:t>
      </w:r>
    </w:p>
    <w:p>
      <w:r>
        <w:t>FR: GE_GERICHTE P/19459/2014 du 24 août 2016</w:t>
      </w:r>
    </w:p>
    <w:p>
      <w:r>
        <w:t>IT: GE_GERICHTE P/19459/2014 del 24 agosto 2016</w:t>
      </w:r>
    </w:p>
    <w:p>
      <w:pPr>
        <w:pStyle w:val="Heading2"/>
      </w:pPr>
      <w:r>
        <w:t>Regeste</w:t>
      </w:r>
    </w:p>
    <w:p>
      <w:r>
        <w:t>FIXATION DE LA PEINE; PEINE PÉCUNIAIRE; AMENDE; SURSIS À L'EXÉCUTION DE LA PEINE | LCR.90.2; CP.42; CP.47; CPP.135; CPP.428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6B_580/2015 du 18 avril 2016 consid. 1.3 et 6B_1249/2014 du 7 septembre 2015 consid. 1.2). 2.1.3.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 124 II 259 consid. 2b p. 261 ss). L'importance de la mise en danger et celle de la faute doivent néanmoins être appréciées au regard des circonstances du cas concret afin de fixer la sanction (cf. art. 47 CP ; arrêts du Tribunal fédéral 6B_580/2015 du 18 avril 2016 consid. 1.3 et 6B_264/2007 du 19 septembre 2007 consid. 3.1). Aussi, si l'on peut comprendre, dans le contexte du traitement des infractions de masse, la pratique du MP consistant à appliquer une échelle de peines correspondant à l'importance du dépassement de vitesse, ce qui revient à prendre pour seul critère celui de la gravité objective de la faute, il ne saurait être question, pour le juge du fond, de renoncer à appliquer l'ensemble des critères de l'art. 47 CP ( AARP/264/2016 du 28 juin 2016 consid. 2.3).</w:t>
      </w:r>
    </w:p>
    <w:p>
      <w:r>
        <w:rPr>
          <w:b/>
        </w:rPr>
        <w:t>E. 2.2</w:t>
      </w:r>
    </w:p>
    <w:p>
      <w:r>
        <w:t>Selon l'art. 42 al. 4 CP, le juge peut prononcer, en plus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 75). Dans le cas d'une condamnation pour un délit qui n'absorbe pas une contravention, le prononcé d'une amende à titre de sanction immédiate relève de l'appréciation du juge, qui n'y est pas tenu à teneur du texte légal (arrêt du Tribunal fédéral 6B_1042/2008 du 30 avril 2009 consid. 2.2 ; " Kannvorschrift ").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w:t>
      </w:r>
    </w:p>
    <w:p>
      <w:r>
        <w:rPr>
          <w:b/>
        </w:rPr>
        <w:t>E. 2.3</w:t>
      </w:r>
    </w:p>
    <w:p>
      <w:r>
        <w:t>En l'espèce, l'intimé a dépassé la vitesse maximale autorisée de 45 km/h, après déduction de la tolérance de 3 km/h, sur un tronçon d'autoroute limité à 40 km/h en raison de l'approche d'un poste de douane. Ce comportement constitue une infraction grave à la LCR. Le ralentissement des autres véhicules dans le respect de la signalisation rendait l'écart de vitesse commis par l'intimé potentiellement dangereux pour la sécurité. Rien au dossier n'indique toutefois que la circulation était dense en ce milieu de journée et qu'un tiers déterminé a été mis en danger par le comportement de l'intimé. L'acte d'accusation ne le retient d'ailleurs pas. La faible affluence, combinée à des conditions météorologiques favorables et une bonne visibilité, ont atténué les risques encourus. Contrairement à ce que soutient le MP, l'intimé n'a pas agi par pure convenance personnelle, mais pour des motifs familiaux exceptionnels, qui, sans justifier son acte, le rendent, à tout le moins en partie, explicable. Son comportement ne dénote pas un mépris caractérisé des règles de la circulation routière et l'acte reste isolé dans son parcours de conducteur. Au vu de ce qui précède, la faute de l'intimé est importante, sans pour autant être qualifiable de "particulièrement grave" comme le soutient le MP. L'intimé a d'emblée reconnu les faits et a pris conscience du caractère répréhensible de son acte. Les remords manifestés sont sincères. Il est sans antécédent, élément neutre s'agissant de la fixation de la peine (ATF 136 IV 1 consid. 2.6). Compte tenu de la gravité de l'acte commis, la peine prononcée par le premier juge paraît excessivement clémente et celle plaidée par le MP exagérée. En conséquence, la CPAR arrêtera une peine pécuniaire de 150 jours-amende. Le montant du jour-amende, non contesté par les parties, est adéquat au regard de la situation financière de l'intimé, de sorte qu'il n'y a pas lieu de le revoir. Le bénéfice du sursis n'est pas remis en cause par le MP, à juste titre, et doit être confirmé, tout comme le délai d'épreuve. Il est exclu de prononcer une amende à titre de sanction immédiate au seul motif qu'il s'agit d'une pratique en cas de délit à la LCR sanctionné d'une peine pécuniaire avec sursis. Compte tenu de la faute de l'intimé et afin que la sanction constitue un signal concret pour lui, la CPAR juge toutefois justifié dans le cas d'espèce de prononcer une amende, dont le montant sera arrêté à CHF 2'000.-, peine privative de liberté de substitution de 20 jours. Le jugement entrepris sera modifié dans le sens qui précède.</w:t>
      </w:r>
    </w:p>
    <w:p>
      <w:r>
        <w:rPr>
          <w:b/>
        </w:rPr>
        <w:t>E. 3</w:t>
      </w:r>
    </w:p>
    <w:p>
      <w:r>
        <w:t>Le MP obtenant partiellement gain de cause, l'intimé sera condamné à la moitié des frais de la procédure d'appel, lesquels comprendront un émolument d'arrêt de CHF 1'000.- (art. 428 al. 1 CPP et art. 14 let. e du Règlement fixant le tarif des frais en matière pénale du 22 décembre 2010 [RTFMP - E 4 10.03]), le solde étant laissé à la charge de l'Etat (art. 428 CPP).</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4.2.2. A teneur de la jurisprudence, est décisif pour fixer la rémunération de l'avocat, le nombre d'heures nécessaires pour assurer la défense d'office du prévenu (arrêt du Tribunal fédéral 2C_509/2007 du 19 novembre 2007 consid. 4). 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rPr>
          <w:b/>
        </w:rPr>
        <w:t>E. 4.3</w:t>
      </w:r>
    </w:p>
    <w:p>
      <w:r>
        <w:t>En l'occurrence, l'état de frais présenté, considéré dans sa globalité, satisfait aux exigences développées en matière d'assistance juridique. Le défenseur d'office sera par conséquent indemnisé à hauteur de CHF 1'749.60, correspondant à 6h45 d'activité du chef d'étude, majoration forfaitaire de 20% (CHF 270.-) et TVA au taux de 8% (CHF 129.60)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