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P/1937/2018 vom 30. Januar 2020</w:t>
      </w:r>
    </w:p>
    <w:p>
      <w:r>
        <w:t>GE Cour de justice, 2020-01-30, FR</w:t>
      </w:r>
    </w:p>
    <w:p>
      <w:r>
        <w:rPr>
          <w:b/>
        </w:rPr>
        <w:t xml:space="preserve">Quelle: </w:t>
      </w:r>
      <w:r>
        <w:t>https://mcp.opencaselaw.ch/entscheid/ge_gerichte_P_1937_2018</w:t>
      </w:r>
    </w:p>
    <w:p>
      <w:r>
        <w:t>FR: GE_GERICHTE P/1937/2018 du 30 janvier 2020</w:t>
      </w:r>
    </w:p>
    <w:p>
      <w:r>
        <w:t>IT: GE_GERICHTE P/1937/2018 del 30 gennaio 2020</w:t>
      </w:r>
    </w:p>
    <w:p>
      <w:pPr>
        <w:pStyle w:val="Heading2"/>
      </w:pPr>
      <w:r>
        <w:t>Regeste</w:t>
      </w:r>
    </w:p>
    <w:p>
      <w:r>
        <w:t>ORDONNANCE PÉNALE;OPPOSITION(PROCÉDURE);CONFISCATION(DROIT PÉNAL);ARME(OBJET);DISPOSITIONS PÉNALES DE LA LARM;PRINCIPE DE LA BONNE FOI | CPP.356.al6; CPP.355.al1.leth; CPP.3.al2.leta; LArm.34.al1.lete; CP.69</w:t>
      </w:r>
    </w:p>
    <w:p>
      <w:pPr>
        <w:pStyle w:val="Heading2"/>
      </w:pPr>
      <w:r>
        <w:t>Erwägungen</w:t>
      </w:r>
    </w:p>
    <w:p>
      <w:r>
        <w:rPr>
          <w:b/>
        </w:rPr>
        <w:t>E. 1.1</w:t>
      </w:r>
    </w:p>
    <w:p>
      <w:r>
        <w:t>Le recours a été rédigé en albanais, en violation des art. 67 CPP et 13 LaCP. Il n'y a toutefois pas lieu d'impartir au recourant un délai supplémentaire pour régulariser ce vice, dans la mesure où le Tribunal de police, à qui l'écriture était adressée, a procédé d'office à sa traduction (ATF 143 IV 117 consid. 2.1 p. 119 s.). Pour le surplus, le recours a été déposé selon la forme et dans le délai prescrits (art. 91 al. 4, 385 al. 1 et 396 al. 1 CPP).</w:t>
      </w:r>
    </w:p>
    <w:p>
      <w:r>
        <w:rPr>
          <w:b/>
        </w:rPr>
        <w:t>E. 1.2</w:t>
      </w:r>
    </w:p>
    <w:p>
      <w:r>
        <w:t>En tant qu'il est dirigé contre une décision du Tribunal de première instance sur les conséquences accessoires du jugement (art. 356 al. 6 CPP), le recours concerne une ordonnance sujette à recours auprès de la Chambre de céans (art. 393 al. 1 let. b CPP ; Message relatif à l'unification du droit de la procédure pénale du 21 décembre 2005, FF 2006 1057 [ci-après : Message CPP], p. 1275 s. ; Y. JEANNERET / A. KUHN / C. PERRIER DEPEURSINGE (éds), Commentaire romand : Code de procédure pénale suisse,</w:t>
      </w:r>
    </w:p>
    <w:p>
      <w:r>
        <w:rPr>
          <w:b/>
        </w:rPr>
        <w:t>E. 2</w:t>
      </w:r>
    </w:p>
    <w:p>
      <w:r>
        <w:t>Le recourant conteste " entièrement " l'ordonnance querellée, " jusqu'à la mort ", car il se dit innocent. On comprend de cette formulation qu'il reproche au Tribunal de police d'avoir considéré que son opposition se limitait à la question de la confiscation, sans examiner les autres points de l'ordonnance pénale. 2.1.1. Selon l'art. 352 al. 1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parmi lesquelles l'amende (let. a). Le prévenu peut former opposition à l'ordonnance pénale, par écrit et dans les dix jours (art. 354 al. 1 let. a CPP), étant précisé que son opposition n'a pas à être motivée (al. 2). Dans ce cas, le ministère public administre les autres preuves nécessaires au jugement de l'opposition (art. 353 al. 1 CPP) puis peut notamment décider de maintenir l'ordonnance pénale (al. 3 let. a). Il transmet alors sans retard le dossier au tribunal de première instance en vue des débats, l'ordonnance pénale tenant lieu d'acte d'accusation (art. 356 al. 1 CPP). Le tribunal de première instance statue sur la validité de l'ordonnance pénale et de l'opposition (al. 2). Si l'opposition ne porte que sur les frais et les indemnités ou d'autres conséquences accessoires, le tribunal statue par écrit, à moins que l'opposant ne demande expressément des débats (al. 6). Au rang des autres conséquences accessoires figure notamment la décision sur la restitution ou la confiscation des objets et valeurs patrimoniales séquestrés (art. 353 al. 1 let. h CPP ; cf. M. NIGGLI / M. HEER / H. WIPRÄCHTIGER (éds), Basler Kommentar, Strafprozessordnung / Jugendstrafprozessordnung , 2 e éd., Bâle 2014, n. 3 ad art. 356). 2.1.2. En principe, l'opposition réduit à néant l'entier de l'ordonnance pénale, même si l'opposant ne remet en cause qu'une partie du prononcé seulement ; il n'y a pas de place pour une opposition partielle. L'art. 356 al. 6 CPP consacre une exception à ce principe, en admettant qu'une opposition puisse être limitée aux frais et indemnités ou à d'autres conséquences accessoires. Dans cette hypothèse, l'ordonnance pénale acquiert le statut de jugement définitif et exécutoire sur les points - notamment la culpabilité et la peine - qui n'ont pas été remis en question (cf. art. 354 al. 3 CPP) et dont le tribunal de première instance ne se saisit pas (Y. JEANNERET / A. KUHN / C. PERRIER DEPEURSINGE (éds), op. cit. , n. 6 ad art. 354 ; Y. JEANNERET / A. KUHN, Précis de procédure pénale , 2 e éd., Berne 2018, n. 17023 p. 547 ; M. NIGGLI / M. HEER / H. WIPRÄCHTIGER (éds), op. cit. , n. 2 s. ad art. 354 ; cf. ég. arrêt du Tribunal fédéral 6B_225/2017 du 11 décembre 2017 consid. 1.2.1 ; ACPR/278/2015 du 12 mai 2015 consid. 2.5). 2.1.3. La règle qui veut que l'opposition du prévenu n'a pas à être motivée (art. 354 al. 2 CPP) a pour but de ne pas l'entraver dans l'exercice de son droit de former opposition, notamment lorsqu'il n'est pas représenté en justice (Message CPP, p. 1274 s.). Cela vaut également lorsque l'opposition ne porte que sur des points accessoires au sens de l'art. 356 al. 6 CPP, étant précisé que, dans un tel cas, le prévenu devrait à tout le moins expliquer, au cours de la procédure subséquente, quels points de la décision il critique (M. NIGGLI / M. HEER / H. WIPRÄCHTIGER (éds), op. cit. , n. 16 ad art. 354 ; dans ce sens ég. Y. JEANNERET / A. KUHN / C. PERRIER DEPEURSINGE (éds), op. cit. , n. 8 ad art. 354). En l'absence de motivation et de conclusions, le ministère public doit appliquer l'art. 385 al. 2 CPP par analogie et impartir un délai à l'opposant ou, s'il n'est pas assisté d'un conseil, s'assurer de ses véritables intentions, par exemple lors d'une audition (N. SCHMID / D. JOSITSCH, Handbuch des schweizerischen Strafprozessrechts , 3 ème éd., Zurich 2017, p. 613 et nbp 50, avec la référence à l'art. 3 al. 2 let. a CPP). De manière générale, le principe de la bonne foi, prévu à l'art. 5 al. 3 Cst. et concrétisé en procédure pénale à l'art. 3 al. 2 let. a CPP, commande que les déclarations d'une partie en justice soient interprétées conformément à la volonté de celle-ci, selon le sens que l'on peut raisonnablement leur prêter et sans s'arrêter aux formulations manifestement inexactes. L'administration étant davantage versée dans les matières qu'elle doit habituellement traiter, on peut attendre de sa part une diligence accrue dans l'examen des actes qui lui sont soumis, en particulier lorsqu'ils sont rédigés par des profanes. En cas de doute sur le sens d'un acte de procédure, son auteur doit en principe être interpellé à ce propos (arrêts du Tribunal fédéral 1B_455/2018 du 5 octobre 2018 consid. 2.3 ; 1B_144/2011 du 14 juin 2011 consid. 2.1, tous deux avec références). En matière d'ordonnance pénale, une déclaration obscure ou ambiguë doit, dans le doute, être considérée comme l'expression d'un refus de se soumettre à celle-ci ( ACPR/293/2020 du 8 mai 2020 consid. 2.3 ; L. MOREILLON / A. PAREIN-REYMOND, Petit commentaire CPP , 2 e éd., Bâle 2016, n. 18 ad art. 354).</w:t>
      </w:r>
    </w:p>
    <w:p>
      <w:r>
        <w:rPr>
          <w:b/>
        </w:rPr>
        <w:t>E. 2.2</w:t>
      </w:r>
    </w:p>
    <w:p>
      <w:r>
        <w:t>L'art. 34 al. 1 let. e LArm punit de l'amende quiconque, en tant que particulier, omet de conserver avec prudence des armes, des éléments essentiels d'armes, des composants d'armes spécialement conçus, des accessoires d'armes, des munitions ou des éléments de munitions (art. 26 al. 1 LArm). Selon l'art. 26 al. 1 LArm, les armes, les éléments essentiels d'armes, les accessoires d'armes, les munitions et les éléments de munitions doivent être conservés avec prudence et ne pas être accessibles à des tiers non autorisés.</w:t>
      </w:r>
    </w:p>
    <w:p>
      <w:r>
        <w:rPr>
          <w:b/>
        </w:rPr>
        <w:t>E. 2.3</w:t>
      </w:r>
    </w:p>
    <w:p>
      <w:r>
        <w:t>supra ), la démarche du Tribunal de police revient en définitive à priver le recourant - qui, on l'a vu, conteste avoir commis une telle contravention - de la possibilité de faire valoir ses arguments y relatifs devant une autorité judiciaire. De ce point de vue également, il appartenait à l'autorité intimée d'examiner d'un oeil attentif la portée de l'opposition du recourant, ce qui l'aurait conduit à admettre qu'elle portait sur l'entier de l'ordonnance pénale. 3. Fondé, le recours doit être admis. Partant, l'ordonnance querellée sera annulée et la cause retournée au Tribunal de police pour qu'il traite l'opposition du recourant selon la procédure ordinaire (cf. art. 356 al. 1 CPP).</w:t>
      </w:r>
    </w:p>
    <w:p>
      <w:r>
        <w:rPr>
          <w:b/>
        </w:rPr>
        <w:t>E. 2.4</w:t>
      </w:r>
    </w:p>
    <w:p>
      <w:r>
        <w:t>En l'espèce, le Tribunal de police, pour ordonner la confiscation de l'arme et des munitions du recourant, s'est essentiellement fondé sur l'ordonnance pénale du 13 juin 2018, qui déclarait ce dernier coupable d'infraction à l'art. 34 al. 1 let. e LArm. Estimant que l'opposition était limitée à la question de la confiscation, et donc que le recourant ne contestait pas sa culpabilité, l'autorité intimée n'est pas revenue sur la commission d'une infraction à la LArm par le recourant, fait qu'elle a considéré comme acquis. Ce raisonnement ne résiste pas à l'examen. L'étude du dossier permet en effet de constater que nonobstant son caractère ambigu, l'opposition du recourant n'était pas limitée à la question de la confiscation, mais portait également sur les faits qui lui étaient reprochés, soit d'avoir omis de conserver son arme et ses munitions avec la prudence nécessaire. On peut premièrement observer que le recourant, qui plaide en personne, ne semble pas maîtriser le français, puisqu'il a dû se faire assister d'un interprète en albanais devant la police et le Ministère public et que ses courriers manuscrits au Tribunal de police et à la Chambre de céans sont rédigés en cette dernière langue. Cette circonstance commandait que l'autorité pénale examinât avec une diligence particulière les déclarations du recourant en procédure, ce d'autant plus s'agissant de son opposition à l'ordonnance pénale du 13 juin 2018, dont seule l'indication des voies de droit lui avait été traduite, à l'exclusion des trois pages contenant les faits, le droit et le dispositif (cf. à cet égard ATF 145 IV 197 consid. 1.3.3 p. 202, qui retient en principe une traduction du dispositif des ordonnances pénales à l'égard des prévenus allophones ; arrêt du Tribunal fédéral 6B_1294/2019 du 8 mai 2020 consid. 1.3.1, selon lequel une notice contenant des informations générales sur l'opposition, traduites en huit langues, ne peut suppléer l'absence de traduction du dispositif). L'opposition litigieuse, du 20 juin 2018, rédigée cette fois-ci en français, débute certes par l'affirmation selon laquelle le recourant serait " entièrement d'accord " avec l'ordonnance pénale. Elle se poursuit toutefois par une série d'éléments censés démontrer qu'il conservait son arme avec la diligence nécessaire (permis obtenu ; arme jamais utilisée ni même chargée ; arme et munitions stockées dans des pièces séparées ; fils ignorant l'emplacement de l'arme). Ce faisant, le recourant conteste manifestement les charges pesant contre lui. Il fait ainsi part au Ministère public de son refus de se soumettre à l'ordonnance pénale, non pas sur un point accessoire seulement, mais sur la réalisation des conditions de l'infraction. Le Ministère public a toutefois voulu lever tout doute à ce sujet, en interpellant une première fois le recourant par écrit, puis en le convoquant à une audience. Si la réponse du recourant du 23 juin 2018, rédigée en français également, semble effectivement aller dans le sens d'une opposition limitée à la question de la confiscation, c'est bien la conclusion inverse qui aurait dû s'imposer à l'issue de l'audience du 26 septembre 2019 : lors de celle-ci, le recourant répète ne pas contester l'amende et l'infraction, mais déclare plus loin ne pas se sentir coupable, réitère ses arguments quant à la conservation prudente de son arme et, surtout, dit désormais contester " les faits et non uniquement le séquestre de l'arme ". Si un doute devait encore subsister sur l'étendue de l'opposition du recourant, il aurait dû conduire le Tribunal de police à considérer que celle-ci portait sur l'intégralité du dispositif de l'ordonnance pénale. Peu importe, dans ce cadre, que le souhait du recourant était " surtout " de récupérer son arme ; dès lors qu'il estimait (également) n'avoir commis aucune faute - ce que le Ministère public relève d'ailleurs lui-même au moment de transmettre le dossier au Tribunal de police -, son opposition devait, dans le doute, être interprétée comme se rapportant non pas à un point accessoire, mais bien à l'essentiel de l'ordonnance pénale : sa culpabilité. En retenant que l'opposition du recourant était limitée à la question de la confiscation et en décidant de statuer par la voie de la procédure simplifiée prévue par l'art. 356 al. 6 CPP, en lieu et place de la procédure ordinaire de première instance, le Tribunal de police a violé cette dernière disposition.</w:t>
      </w:r>
    </w:p>
    <w:p>
      <w:r>
        <w:rPr>
          <w:b/>
        </w:rPr>
        <w:t>E. 2.5</w:t>
      </w:r>
    </w:p>
    <w:p>
      <w:r>
        <w:t>Cette manière de faire est d'autant plus problématique que, pour prononcer la confiscation de l'arme et des munitions, le Tribunal de police s'est fondé sur les autres points de l'ordonnance pénale qui, selon lui, n'avaient pas été frappés d'opposition et avaient ainsi acquis le statut de jugement définitif. Il a considéré comme établi que le recourant s'était rendu coupable d'une contravention à l'art. 34 al. 1 let. e LArm, et donc que les éléments objectifs et subjectifs d'une infraction étaient réalisés, ce qui lui a ensuite permis d'ordonner la confiscation, sans autre espèce d'instruction à cet égard, de l'arme et des munitions en tant qu'objets (ou instruments) de l'infraction (art. 69 al. 1 CP). S'il n'est pas exclu qu'une contravention à la LArm puisse déjà permettre de confisquer l'arme en cause (cf. consid.</w:t>
      </w:r>
    </w:p>
    <w:p>
      <w:r>
        <w:rPr>
          <w:b/>
        </w:rPr>
        <w:t>E. 4</w:t>
      </w:r>
    </w:p>
    <w:p>
      <w:r>
        <w:t>L'admission du recours ne donne pas lieu à la perception de frais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