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P/19346/2020 vom 17. November 2020</w:t>
      </w:r>
    </w:p>
    <w:p>
      <w:r>
        <w:t>GE Cour de justice, 2020-11-17, FR</w:t>
      </w:r>
    </w:p>
    <w:p>
      <w:r>
        <w:rPr>
          <w:b/>
        </w:rPr>
        <w:t xml:space="preserve">Quelle: </w:t>
      </w:r>
      <w:r>
        <w:t>https://mcp.opencaselaw.ch/entscheid/ge_gerichte_P_19346_2020</w:t>
      </w:r>
    </w:p>
    <w:p>
      <w:r>
        <w:t>FR: GE_GERICHTE P/19346/2020 du 17 novembre 2020</w:t>
      </w:r>
    </w:p>
    <w:p>
      <w:r>
        <w:t>IT: GE_GERICHTE P/19346/2020 del 17 novembre 2020</w:t>
      </w:r>
    </w:p>
    <w:p>
      <w:pPr>
        <w:pStyle w:val="Heading2"/>
      </w:pPr>
      <w:r>
        <w:t>Regeste</w:t>
      </w:r>
    </w:p>
    <w:p>
      <w:r>
        <w:t>SEQUESTRE;BIEN CULTUREL | CPP.197; CPP.263; LTBC.24</w:t>
      </w:r>
    </w:p>
    <w:p>
      <w:pPr>
        <w:pStyle w:val="Heading2"/>
      </w:pPr>
      <w:r>
        <w:t>Erwägungen</w:t>
      </w:r>
    </w:p>
    <w:p>
      <w:r>
        <w:rPr>
          <w:b/>
        </w:rPr>
        <w:t>E. 1</w:t>
      </w:r>
    </w:p>
    <w:p>
      <w:r>
        <w:t>Le recours est recevable pour avoir été déposé selon la forme et dans le délai prescrits (art. 385 al. 1 et 396 al. 1 CPP), concerner une ordonnance de séquestre,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197 al. 1 let. a CPP, les mesures de contrainte - au nombre desquelles figure le séquestre - doivent être prévues par la loi. Aux termes de l'art. 20 al. 1 LTBC, s'il y a lieu de soupçonner qu'un bien culturel a été volé, enlevé à son propriétaire sans sa volonté ou importé illicitement en Suisse, les autorités de poursuite pénale compétentes ordonnent son séquestre.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Les biens culturels et les valeurs confisqués en vertu des art. 69 et 70 CP sont dévolus à la Confédération (art. 28 LTBC); si le propriétaire est un État, lesdits biens lui sont remis (art. 27 al. 1 OTBC).</w:t>
      </w:r>
    </w:p>
    <w:p>
      <w:r>
        <w:rPr>
          <w:b/>
        </w:rPr>
        <w:t>E. 3.2</w:t>
      </w:r>
    </w:p>
    <w:p>
      <w:r>
        <w:t>Le séquestre doit répondre à l'existence de soupçons suffisants laissant présumer une infraction (art. 197 al. 1 let. b CPP). L'art. 24 al. 1 let. c LTBC punit celui qui importe illicitement des biens culturels ou fait une déclaration incorrecte lors de l'importation ou du transit de ces biens. Si l'auteur agit par négligence, la peine est réduite (art. 24 al. 2 LTBC). En matière de séquestre pénal,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(Y. JEANNERET / A. KUHN / C. PERRIER DEPEURSINGE (éds), Commentaire romand du CPP, Bâle 2019, n. 22 et 25 ad art. 263).</w:t>
      </w:r>
    </w:p>
    <w:p>
      <w:r>
        <w:rPr>
          <w:b/>
        </w:rPr>
        <w:t>E. 3.3</w:t>
      </w:r>
    </w:p>
    <w:p>
      <w:r>
        <w:t>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w:t>
      </w:r>
    </w:p>
    <w:p>
      <w:r>
        <w:rPr>
          <w:b/>
        </w:rPr>
        <w:t>E. 3.4</w:t>
      </w:r>
    </w:p>
    <w:p>
      <w:r>
        <w:t>En l'espèce, le recourant ne conteste pas le caractère a priori de bien culturel de l'ouvrage litigieux ni n'allègue que sa saisie serait disproportionnée. Il ne pensait pas que cet objet, dont il se revendique propriétaire, aurait dû être déclaré lors de son entrée en Suisse. L'instruction vient de débuter et les premiers actes d'enquête sont en cours auprès de la police. Dès lors, à ce stade de la procédure, il suffit, pour que le Ministère public puisse ordonner un séquestre, qu'il dispose d'un soupçon crédible d'une infraction à l'art. 24 LTBC, ce qui est le cas ici, eu égard à la nature de l'oeuvre, même si l'estimation de sa valeur n'apparaît pas, à ce stade, très élevée.</w:t>
      </w:r>
    </w:p>
    <w:p>
      <w:r>
        <w:rPr>
          <w:b/>
        </w:rPr>
        <w:t>E. 4</w:t>
      </w:r>
    </w:p>
    <w:p>
      <w:r>
        <w:t>Justifiée en l'état,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