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P/19344/2025 vom 17. Dezember 2025</w:t>
      </w:r>
    </w:p>
    <w:p>
      <w:r>
        <w:t>GE Cour de justice, 2025-12-17, FR</w:t>
      </w:r>
    </w:p>
    <w:p>
      <w:r>
        <w:rPr>
          <w:b/>
        </w:rPr>
        <w:t xml:space="preserve">Quelle: </w:t>
      </w:r>
      <w:r>
        <w:t>https://mcp.opencaselaw.ch/entscheid/ge_gerichte_P_19344_2025</w:t>
      </w:r>
    </w:p>
    <w:p>
      <w:r>
        <w:t>FR: GE_GERICHTE P/19344/2025 du 17 décembre 2025</w:t>
      </w:r>
    </w:p>
    <w:p>
      <w:r>
        <w:t>IT: GE_GERICHTE P/19344/2025 del 17 dicembre 2025</w:t>
      </w:r>
    </w:p>
    <w:p>
      <w:pPr>
        <w:pStyle w:val="Heading2"/>
      </w:pPr>
      <w:r>
        <w:t>Regeste</w:t>
      </w:r>
    </w:p>
    <w:p>
      <w:r>
        <w:t>DÉTENTION PROVISOIRE;RISQUE DE COLLUSION;MESURE DE SUBSTITUTION À LA DÉTENTION;PROPORTIONNALITÉ;RISQUE DE FUITE | CPP.221; CPP.197;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conseil du recourant invoque une violation du droit d'être entendu de son mandant.</w:t>
      </w:r>
    </w:p>
    <w:p>
      <w:r>
        <w:rPr>
          <w:b/>
        </w:rPr>
        <w:t>E. 2.1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w:t>
      </w:r>
    </w:p>
    <w:p>
      <w:r>
        <w:rPr>
          <w:b/>
        </w:rPr>
        <w:t>E. 2.2</w:t>
      </w:r>
    </w:p>
    <w:p>
      <w:r>
        <w:t>En l'espèce, il n'apparaît pas que la motivation du premier juge sur les éléments topiques soit déficiente. En tout état, la Chambre de céans dispose d'un plein pouvoir de cognition et le recourant a pu à nouveau faire valoir ses moyens ici, de sorte qu'une éventuelle violation de son droit d'être entendu serait, quoi qu'il en soit, considérée comme étant réparée. Partant, ce grief sera rejeté.</w:t>
      </w:r>
    </w:p>
    <w:p>
      <w:r>
        <w:rPr>
          <w:b/>
        </w:rPr>
        <w:t>E. 3</w:t>
      </w:r>
    </w:p>
    <w:p>
      <w:r>
        <w:t>Dans son recours rédigé en personne, le recourant conteste les charges retenues à son encontre.</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les infractions reprochées au recourant sont sans conteste graves, au vu de leur qualification juridique. Nonobstant les dénégations du recourant s'agissant des faits du 11 août 2025, elle reposent, s'agissant de ces évènements, sur les déclarations du lésé, sur la présence de son ADN sur le couteau ayant servi à l'attaque, sur les déclarations des deux témoins entendus, qui excluent tous deux la présence d'une tierce personne ayant tenté de séparé les protagonistes, et enfin sur les images de vidéosurveillance, prises avant et peu après les faits, sur lesquelles le recourant se reconnait, y compris avec la main ensanglantée. Partant, ce grief sera rejeté.</w:t>
      </w:r>
    </w:p>
    <w:p>
      <w:r>
        <w:rPr>
          <w:b/>
        </w:rPr>
        <w:t>E. 4</w:t>
      </w:r>
    </w:p>
    <w:p>
      <w:r>
        <w:t>Le recourant conteste, dans son recours expédié le 2 décembre 2025,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comme relevé par le TMC et le Ministère public, le recourant est de nationalité française. Toute sa famille vit en France, pays qui n'extrade pas ses ressortissants. Il n'a somme toute que peu d'attaches en Suisse où il ne semble venir que dans le but d'y consommer des stupéfiants, hormis un emploi – non documenté – de livreur par le biais d'une application de livraison. Le fait qu'il ait été mis au bénéfice de mesures de substitution dans le cadre de la procédure pénale P/25567/2024 n'y change rien, l'ordonnance y relative ayant précisément retenu l'existence d'un risque de fuite déjà qualifié de concret. Il l'est d'autant plus désormais, au vu des nouveaux faits, sans conteste graves, qui lui sont reprochés. Là encore, le grief soulevé sera rejeté.</w:t>
      </w:r>
    </w:p>
    <w:p>
      <w:r>
        <w:rPr>
          <w:b/>
        </w:rPr>
        <w:t>E. 5</w:t>
      </w:r>
    </w:p>
    <w:p>
      <w:r>
        <w:t>Tant le recourant que son conseil contestent l'existence d'un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le recourant conteste l'essentiel des faits qui lui sont reprochés. Il apparaît qu'il connaît tant C______ que G______, qu'il côtoyait aux abords du E______ [espace de consommation]. Il a par ailleurs affirmé qu'il se trouvait en compagnie de J______ le 2 septembre 2025 lorsqu'il a été interpellé, ce qui mène à penser qu'il connaissait aussi ce dernier. Que les trois précités n'aient pu être localisés par la police ou qu'ils aient refusé de se présenter aux audiences où ils étaient convoqués ne permet pas encore de retenir que le recourant n'aurait pas les moyens, par de tierces personnes ou par les moyens de communication modernes, d'entrer en contact avec eux. Il importe pourtant qu'il ne puisse, jusqu'à l'audience de jugement, interférer avec la manifestation de la vérité. C'est donc à juste titre que le TMC a retenu l'existence d'un risque de collusion.</w:t>
      </w:r>
    </w:p>
    <w:p>
      <w:r>
        <w:rPr>
          <w:b/>
        </w:rPr>
        <w:t>E. 6</w:t>
      </w:r>
    </w:p>
    <w:p>
      <w:r>
        <w:t>Le recourant ne conteste pas, ni dans son recours manuscrit, ni dans celui déposé le 9 décembre 2025 par son conseil, l'existence d'un risque de réitération. Au vu des risques – indiscutables – qui précèdent, il n'est pas nécessaire d'examiner l'existence de ce risque, y compris sous l'angle de la récente jurisprudence (ATF 151 IV 185 consid. 2.11).</w:t>
      </w:r>
    </w:p>
    <w:p>
      <w:r>
        <w:rPr>
          <w:b/>
        </w:rPr>
        <w:t>E. 7</w:t>
      </w:r>
    </w:p>
    <w:p>
      <w:r>
        <w:t>Le recourant suggère d'être mis au bénéfice de mesures de substitution. Or, avec le Ministère public et le TMC, il faut retenir qu'aucune mesure ne semble propre à pallier les risques retenus. Les mesures prononcées dans la procédure P/25567/2024 l'ont été alors que le recourant avait admis les faits, ce qui n'est pas le cas pour les faits les plus graves qui lui sont nouvellement reprochés. De plus, la procédure alors encore en cours ne l'a pas empêché de se voir, une fois encore, reprocher des infractions, de surcroît graves, démontrant même une certaine gradation dans ses actes.</w:t>
      </w:r>
    </w:p>
    <w:p>
      <w:r>
        <w:rPr>
          <w:b/>
        </w:rPr>
        <w:t>E. 8</w:t>
      </w:r>
    </w:p>
    <w:p>
      <w:r>
        <w:t>Le recourant estime que la prolongation ordonnée viole le principe de la proportionnalité.</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(ATF 133 I 270 consid. 3.4.2 p. 281-282; 125 I 60 ; arrêts du Tribunal fédéral 1B_750/2012 du 16 janvier 2013 consid. 2, 1B_624/2011 du 29 novembre 2011 consid. 3.1 et 1B_9/2011 du 7 février 2011 consid. 7.2).</w:t>
      </w:r>
    </w:p>
    <w:p>
      <w:r>
        <w:rPr>
          <w:b/>
        </w:rPr>
        <w:t>E. 8.2</w:t>
      </w:r>
    </w:p>
    <w:p>
      <w:r>
        <w:t>En l'espèce, au vu de la peine menace et concrètement encourue si le recourant devait être condamné pour toutes les infractions qui lui sont reprochées, dans les différentes procédures désormais jointes, aucune violation de ce principe n'a été commise. Le grief sera dès lors rejeté.</w:t>
      </w:r>
    </w:p>
    <w:p>
      <w:r>
        <w:rPr>
          <w:b/>
        </w:rPr>
        <w:t>E. 9</w:t>
      </w:r>
    </w:p>
    <w:p>
      <w:r>
        <w:t>Enfin, on ne discerne aucune violation du principe de la célérité, au vu des actes d’instruction effectués et ceux annoncés, soit l'avis de prochaine clôture, l'administration des preuves encore possiblement requises, y compris par le recourant, ainsi que la rédaction d'un acte d'accusation.</w:t>
      </w:r>
    </w:p>
    <w:p>
      <w:r>
        <w:rPr>
          <w:b/>
        </w:rPr>
        <w:t>E. 10</w:t>
      </w:r>
    </w:p>
    <w:p>
      <w:r>
        <w:t>Quant aux griefs soulevés, au stade de la réplique, à l'encontre de l'ordonnance de jonction, ils sont exorbitants à la présente cause.</w:t>
      </w:r>
    </w:p>
    <w:p>
      <w:r>
        <w:rPr>
          <w:b/>
        </w:rPr>
        <w:t>E. 11</w:t>
      </w:r>
    </w:p>
    <w:p>
      <w:r>
        <w:t>Le recours s'avère ainsi infondé et doit être rejeté.</w:t>
      </w:r>
    </w:p>
    <w:p>
      <w:r>
        <w:rPr>
          <w:b/>
        </w:rPr>
        <w:t>E. 12</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13</w:t>
      </w:r>
    </w:p>
    <w:p>
      <w:r>
        <w:t>Le recourant plaide au bénéfice d'une défense d'office. 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