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P/1928/2024 vom 29. Juli 2025</w:t>
      </w:r>
    </w:p>
    <w:p>
      <w:r>
        <w:t>GE Cour de justice, 2025-07-29, FR</w:t>
      </w:r>
    </w:p>
    <w:p>
      <w:r>
        <w:rPr>
          <w:b/>
        </w:rPr>
        <w:t xml:space="preserve">Quelle: </w:t>
      </w:r>
      <w:r>
        <w:t>https://mcp.opencaselaw.ch/entscheid/ge_gerichte_P_1928_2024</w:t>
      </w:r>
    </w:p>
    <w:p>
      <w:r>
        <w:t>FR: GE_GERICHTE P/1928/2024 du 29 juillet 2025</w:t>
      </w:r>
    </w:p>
    <w:p>
      <w:r>
        <w:t>IT: GE_GERICHTE P/1928/2024 del 29 luglio 2025</w:t>
      </w:r>
    </w:p>
    <w:p>
      <w:pPr>
        <w:pStyle w:val="Heading2"/>
      </w:pPr>
      <w:r>
        <w:t>Regeste</w:t>
      </w:r>
    </w:p>
    <w:p>
      <w:r>
        <w:t>IN DUBIO PRO REO;PROFILAGE RACIAL;DISPOSITIONS PÉNALES DE LA LSTUP;DISPOSITIONS PÉNALES DE LA LEI;OPPOSITION À UN ACTE DE L'AUTORITÉ;CONCOURS D'INFRACTIONS;EXPULSION(DROIT PÉNAL);RÈGLEMENT (UE) 2018/1861 | CPP.215.al1; LPol.47; LStup.19.al1; CP.285; CP.49.al1; CP.66abis</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2.2</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2.3.1. Selon l'art. 215 al. 1 CPP, 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 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6B_1297/2017 du 26 juillet 2018 consid. 2.4.1). La police est tenue d'arrêter provisoirement et de conduire au poste toute personne qu'elle a surprise en flagrant délit de crime ou de délit ou qu'elle a interceptée immédiatement après un tel acte ou qui est signalée (art. 217 al. 1 let. a et let. b CPP). 2.3.2. Selon l'art. 45 al. 1 de la Loi genevoise sur la police (LPol), celle-ci exerce ses tâches dans le respect des droits fondamentaux et des principes de légalité, de proportionnalité et d'intérêt public. L'art. 47 LPol permet aux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 2.3.3. La Cour Européenne des Droits de l'Homme (CourEDH) a récemment condamné la Suisse pour profilage racial, en violation des art. 8 et 14 CEDH (arrêt CourEDH Wa Baile contre Suisse du 20 février 2024, réquisitions n° 43868/18 et 25883/21). Le cas traité concernait un Suisse d'origine kenyane qui avait été contrôlé et fouillé en 2015 par la police dans la gare de Zurich alors qu'il n'existait aucun soupçon d'infraction. Ayant refusé de présenter ses documents d'identités,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l'approche du policier) et du lieu où il avait été effectué, le requérant pouvait se prévaloir d'un grief de discrimination fondée sur sa couleur de peau. Plus précisément, la CourEDH a retenu une violation procédurale et matérielle des art. 14 et 8 CEDH, dans la mesure où la Suisse avait méconnu son obligation de rechercher si des motifs discriminatoires avaient pu jouer un rôle dans le contrôle d'identité subi par le requérant (§96 à 102). Il existait, dans les circonstances du cas d'espèce, une présomption de traitement discriminatoire que la Suisse n'était pas parvenue à réfuter (le gouvernement alléguait que d'autres individus avaient été contrôlés ce jour-là sans indiquer le nombre d'interpellation ou des détails pertinents à ce sujet ; inexistence de données statistiques) (§127 à 136). Elle a également conclu à la violation de l'art. 13 CEDH en lien avec les articles précités, le requérant n'ayant pas bénéficié devant les instances internes d'une voie de recours effectif par laquelle il pouvait faire valoir son grief de traitement discriminatoire lors de son contrôle d'identité et sa fouille, aucune instance ni pénale ni administrative n'ayant examiné le grief fondé sur la couleur de peau (§145 à 147). 2.3.4. Dans l'arrêt 7B_102/2024 du 11 mars 2024, visant le cas d'un ressortissant guinéen contrôlé, sans motif concret, par la police dans un tram à Genève, le Tribunal fédéral (TF) a reconnu que la fouille du téléphone portable de l'intéressé dans la foulée s'apparentait à une "fishing expedition". Cette mesure était, en l'espèce, disproportionnée et, dépassant le cadre de l'art. 215 CPP, elle était soumise à l'exigence d'un mandat, selon l'art. 241 al. 1 CPP. Il n'y avait en particulier aucun indice, au moment de son interpellation, d'un lien du prévenu avec un trafic de cocaïne contre lequel était dirigée l'opération TEMBO (cette opération étant "destinée spécifiquement à déstabiliser les réseaux de trafiquants de cocaïne en procédant à des contrôles en divers lieux du canton, soit une mission clairement d'intérêt, de sécurité et de santé publics", les policiers étant "formés pour identifier divers signes laissant penser qu'une personne pourrait s'adonner au trafic, signes qui peuvent être liés au comportement général d'une personne, à un état de stress et à tout autre élément pertinent relevant des techniques policières (...) " [consid. 2.5.2]). Le TF a relevé que d'éventuels indices d'infractions à la LEI, lesquels ne ressortaient pas du dossier, ne justifiaient pas encore une perquisition d'un téléphone, cette mesure allant au-delà de ce qui était nécessaire dans le cadre d'une appréhension au sens de l'art. 215 CPP (consid. 2.4.4). 2.4.1. L'art. 19 al. 1 LStup sanctionne d’une peine privative de liberté de trois ans au plus ou d’une peine pécuniaire divers comportements en lien avec les stupéfiants, au nombre desquels le fait, sans droit, d'aliéner ou prescrire des stupéfiants, d'en procurer de toute autre manière à un tiers ou d'en mettre dans le commerce. 2.4.2. À teneur de l'art. 285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L’art. 285 CP réprime deux infractions différentes : la contrainte contre les autorités ou les fonctionnaires et les voies de fait contre ceux-ci (arrêts du Tribunal fédéral 6B_366/2021 du 26 janvier 2022 consid. 3.1 ; 6B_1191/2019 du 4 décembre 2019 consid. 3.1 ; 6B_863/2015 du 15 mars 2016 consid. 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L'art. 285 CP n'est pas applicable si l'auteur règle un compte privé avec le fonctionnaire, mais à un moment où celui-ci est en fonction (ATF 110 IV 91 consid. 2). 2.4.3. À teneur de l'art. 115 al. 1 let. a LEI, est puni d'une peine privative de liberté d'un an au plus ou d'une peine pécuniaire quiconque contrevient aux dispositions sur l'entrée en Suisse prévues à l'art. 5 LEI. L'art. 119 de cette loi punit d’une peine privative de liberté de trois ans au plus ou d’une peine pécuniaire quiconque enfreint une assignation à un lieu de résidence ou une interdiction de pénétrer dans une région déterminée (art. 74). Ces deux infractions entrent en concours idéal (ATF 143 IV 264 ).</w:t>
      </w:r>
    </w:p>
    <w:p>
      <w:r>
        <w:rPr>
          <w:b/>
        </w:rPr>
        <w:t>E. 2.5</w:t>
      </w:r>
    </w:p>
    <w:p>
      <w:r>
        <w:t>En l'espèce, les faits reprochés à l'appelant sont établis et constitutifs des infractions retenues par le premier juge. En effet :</w:t>
      </w:r>
    </w:p>
    <w:p>
      <w:r>
        <w:rPr>
          <w:b/>
        </w:rPr>
        <w:t>E. 2.5.1</w:t>
      </w:r>
    </w:p>
    <w:p>
      <w:r>
        <w:t>Le témoignage du gendarme sur les faits du 19 janvier 2024 emporte conviction. Le fait que le seul consommateur entendu n'ait pas reconnu l'appelant ou ait contesté avoir été confronté à lui derrière une vitre sans tain est sans pertinence, dans la mesure où le policier entendu comme témoin, en présence de l'appelant et de son avocat, a constaté les faits, reconnu et identifié l'appelant et confirmé qu'il était l'auteur des deux transactions de stupéfiants. Ce consommateur s'est d'ailleurs trompé sur la monnaie de la transaction et la couleur de la cagoule portée par le vendeur, ce qui permet de relativiser la fiabilité de sa mémoire. Il n'y a aucune raison, et certainement aucune sérieuse, de remettre en cause les explications détaillées du témoin, fonctionnaire assermenté qui n'avait aucun motif de s'exprimer contrairement à la vérité. À cela s'ajoute que les sommes alléguées remises par les toxicomanes ont bien été saisies sur l'appelant. Enfin, contrairement à ce que soutient ce dernier, il n'y a pas de contradiction entre le témoignage du policier (qui a dit ne pas avoir perdu de vue le prévenu) et son rapport d'arrestation (dont il ressort que le vendeur a été perdu de vue avant qu'il ne remette les stupéfiants aux jeunes clients). En effet, le témoin n'a pas perdu de vue le prévenu entre le moment de la vente et l'arrestation, ce qui est le seul point pertinent puisque l'appelant se voit reprocher la vente d'ecstasy et non les démarches ayant précédé cette transaction. L'appelant a donc bien vendu deux pilules d'ecstasy au prix de EUR 20.-. L'appelant a également pris des mesures aux fins de vendre des produits cannabiques à d'autres clients. Ses explications quant au motif de la remise par un tiers d'une somme de EUR 100.-, un vendredi soir vers 22h (remboursement d'une dette) ne résistent pas à l'examen : outre l'heure et le lieu insolites, on peine à comprendre pourquoi un tel remboursement aurait lieu à Genève pour une dette contractée en France. L'existence même de cette dette est très douteuse dans la mesure où la personne qui l'aurait contractée n'était que de passage à Genève en provenance du Sénégal et non de France. Enfin, comme le souligne d'ailleurs l'appelant lui-même, on peine à comprendre pourquoi ce passant aurait évoqué une transaction de stupéfiants s'il lui avait remis cet argent pour une cause légitime. Dans la mesure où ce client n'a été entendu que verbalement, que la quantité en cause n'est pas déterminée et que la transaction envisagée ne portait que sur une drogue douce, ces actes ont un très faible poids dans la culpabilité globale de l'appelant. En se trouvant à Genève à la date susmentionnée, l'appelant, qui n'est au bénéfice d'aucun visa alors qu'une telle autorisation est nécessaire pour les ressortissants nigérians, a par ailleurs violé les prescriptions relatives à l'entrée en Suisse et contrevenu à l'art. 115 al. 1 LEI.</w:t>
      </w:r>
    </w:p>
    <w:p>
      <w:r>
        <w:rPr>
          <w:b/>
        </w:rPr>
        <w:t>E. 2.5.2</w:t>
      </w:r>
    </w:p>
    <w:p>
      <w:r>
        <w:t>Ce qui précède vaut également pour les faits du 4 juillet 2024. L'appelant s'est plaint pour la première fois en appel de l'absence au dossier de l'inventaire relatif à la drogue saisie, dont l'existence était mentionnée dans le rapport d'arrestation, absence qui découle vraisemblablement d'une inadvertance lors de la disjonction de la cause concernant le toxicomane. Le fait que l'exemplaire versé au dossier par la CPAR soit une copie non signée n'altère pas sa force probante, dans la mesure où celle-ci est attestée par l'ensemble des éléments du dossier (rapport d'arrestation qui mentionne l'inventaire annexé, témoignage du gendarme, déclaration du toxicomane). L'absence de l'inventaire signé au dossier ne porte aucune atteinte au droit d'être entendu de l'appelant. Au surplus, s'il entendait contester la qualité de stupéfiant ou la nature de la drogue, il pouvait amplement le faire devant le MP en cours d'instruction, ce dont il s'est gardé, étant relevé qu'il n'est pas usuel de solliciter un cahier photographique ou une analyse d'une si petite quantité de stupéfiants ; le fait que l'appelant ne se plaigne de l'absence d'une telle analyse qu'au stade de l'appel, après avoir été informé de la destruction de la boulette de cocaïne, relève de l'opportunisme. S'il est troublant que l'argent retrouvé sur l'appelant ne corresponde pas à la somme décrite par le consommateur, il faut relever d'une part que celui-ci n'a pas été formel sur le montant (ce qui peut s'expliquer s'il était au téléphone lors de la transaction) ou qu'il n'est pas exclu qu'un billet ait échappé à la fouille (étant rappelé que, dans la présente procédure, une pilule d'ecstasy a aussi été perdue par la police). Au surplus, au vu du témoignage clair du gendarme, une confusion d'identité n'est pas envisageable. L'appelant a donc bien vendu une boulette de cocaïne de 0.5 gramme, pour un prix indéterminé. En se trouvant à Genève à la date susmentionnée, il a violé à la fois l'interdiction de périmètre dont il faisait l'objet ainsi que les prescriptions relatives à l'entrée en Suisse, commettant une infraction aux art. 115 al. 1 et 119 LEI.</w:t>
      </w:r>
    </w:p>
    <w:p>
      <w:r>
        <w:rPr>
          <w:b/>
        </w:rPr>
        <w:t>E. 2.5.3</w:t>
      </w:r>
    </w:p>
    <w:p>
      <w:r>
        <w:t>Le même raisonnement s'applique s'agissant des faits du 13 juillet 2024. Contrairement à ce que soutient l'appelant dans ses écritures, ce sont bien trois et non deux policiers, dont l'un s'est déplacé en voiture, qui sont intervenus. L'appelant ne convainc pas en soutenant ne pas avoir compris qu'il avait affaire à une intervention de police, alors que le policier est arrivé en voiture de patrouille là où il se trouvait, suscitant la fuite des personnes autour de lui. Même s'il fallait le suivre en retenant qu'il n'a pas vu le véhicule sérigraphié, il n'en demeure pas moins que, lorsqu'il a pris la fuite, le policier en uniforme qui l'a poursuivi s'est légitimé en lui intimant l'ordre de s'arrêter, et qu'il a ensuite regardé dans les yeux le gendarme qui s'est placé en travers de son chemin avant de le percuter de plein fouet. Cela confirme, si besoin était, que celui-ci n'a pas " surgi " ni ne l'a ceinturé " par derrière ". Les discussions du mémoire d'appel sur le déroulement des faits (longueur et largeur du pont, luminosité) sont de simples conjectures qui ne suffisent pas à remettre en cause les déclarations claires du témoin. L'appelant a foncé sur le policier et ne l'a pas contourné ; cela ressort manifestement d'une décision prise dans l'instant : le fait qu'elle n'apparaisse pas rationnelle n'y change rien. Les policiers ont d'emblée expliqué les raisons de leur intervention : le constat qu'un trafic de stupéfiants se déroulait à leur vue et se poursuivait malgré des signaux effectués avec une torche, activité qui a suscité le déplacement de l'un d'eux sur l'autre rive. Il n'y a pas de raison de douter des explications fournies à ce sujet dès le rapport d'arrestation puis par le témoin auditionné au MP et l'appelant n'a donc pas fait l'objet d'une interpellation arbitraire. Au surplus, la fuite pour se soustraire à ce contrôle, remplissant par-là les éléments objectifs d'une infraction à l'art. 286 CP, justifiait pleinement que ce contrôle se termine en interpellation. Pour avoir de surcroît bousculé violemment un gendarme, l'appelant tombe sous le coup de la qualification d'infraction à l'art. 285 CP, étant finalement relevé que le gendarme blessé n'a nullement exagéré, indiquant spontanément que sa lésion n'était pas grave, ce qui confirme encore la crédibilité de son témoignage et l'absence de volonté de " charger " l'appelant. En se trouvant à Genève à la date susmentionnée, ce dernier a violé à la fois l'interdiction de périmètre dont il faisait l'objet ainsi que les prescriptions relatives à l'entrée en Suisse, commettant une infraction aux art. 115 al. 1 et 119 LEI.</w:t>
      </w:r>
    </w:p>
    <w:p>
      <w:r>
        <w:rPr>
          <w:b/>
        </w:rPr>
        <w:t>E. 2.5.4</w:t>
      </w:r>
    </w:p>
    <w:p>
      <w:r>
        <w:t>L'appelant se prévaut d'une interpellation arbitraire lors du contrôle dont il a fait l'objet le 31 mai 2024. Ce contrôle s'inscrit dans une activité légitime de contrôle d'identité dans un lieu notoirement connu pour le trafic de stupéfiants qui s'y déroule à toutes heures du jour et de la nuit. Contrairement aux cas cités ci-dessus et invoqués par l'appelant, la démarche s'est limitée à un contrôle d'identité, justifié par les circonstances, et qui a en l'occurrence abouti au constat que la présence de l'appelant sur le territoire genevois était illicite, confirmant d'ailleurs a posteriori la légitimité de la vérification entreprise. Les faits sont donc bien réalisés et constitutifs d'infractions aux art. 115 al. 1 et 119 LEI.</w:t>
      </w:r>
    </w:p>
    <w:p>
      <w:r>
        <w:rPr>
          <w:b/>
        </w:rPr>
        <w:t>E. 2.5.5</w:t>
      </w:r>
    </w:p>
    <w:p>
      <w:r>
        <w:t>L'appelant ne conteste pas la matérialité des faits du 14 juin 2024 mais se prévaut de motifs louables, soit le fait d'avoir accompagné une amie chez elle (selon son mémoire d'appel) voire à son lieu de travail (selon sa déclaration). Il lui incombait toutefois, pour se prévaloir d'un fait justificatif (qu'il ne qualifie pas), d'en démontrer l'existence, ce qu'il ne fait pas, son allégation étant dépourvue de tout élément permettant ne serait-ce que la moindre vérification. Au surplus, les explications fournies apparaissent rocambolesques et de circonstance, étant relevé que si l'appelant se trouvait chez cette personne, domiciliée selon lui à la frontière en Suisse, il avait déjà contrevenu à la LEI en se rendant chez elle. Les faits sont donc constitutifs d'infractions aux art. 115 al. 1 et 119 LEI.</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w:t>
      </w:r>
    </w:p>
    <w:p>
      <w:r>
        <w:rPr>
          <w:b/>
        </w:rPr>
        <w:t>E. 3.3</w:t>
      </w:r>
    </w:p>
    <w:p>
      <w:r>
        <w:t>En l'espèce, l'appelant a commis, en l'espace de moins de cinq mois, plusieurs délits, s'en prenant à la santé publique (LStup), à la sécurité publique et à l'intégrité physique d'un fonctionnaire de police, ainsi qu'aux règles en matière de police des étrangers, démontrant, par son comportement, un manque flagrant de respect pour l'autorité mais aussi la santé d'autrui et les règles en vigueur. Sa situation personnelle n'explique pas son comportement, dans la mesure où il expose vivre en France et y disposer d'un subside et d'un logement ; il est venu de façon réitérée à Genève par pure convenance personnelle. Le mobile invoqué pour les faits du 14 juin 2024, qui n'est pas établi, ne remplit au surplus pas les conditions du mobile honorable au sens de l'art. 48 let. a ch. 1 CP : si l'amie de l'appelant travaille en Suisse elle a l'habitude de se rendre sur son lieu de travail et l'appelant n'explique pas pourquoi elle aurait eu besoin, une fois, d'un accompagnement. En tout état, l'indéniable précarité de sa situation ne justifie pas ses manquements répétés. Interpellé à réitérées reprises, l'appelant n'a eu de cesse de recommencer, étant relevé que ce n'est que la détention ordonnée après les faits du 13 juillet 2024 qui a mis un terme à ses agissements. La répétition des infractions, conjuguée à sa situation personnelle très précaire et son absence de toute attache et perspective d'intégration en Suisse, excluent le prononcé d'une peine pécuniaire ; seule une peine privative de liberté est de nature à le dissuader de récidiver, pour l'ensemble des infractions commises. Il y a concours d'infractions, ce qui conduit à l'application de l'art. 49 al. 1 CP. Les infractions aux art. 19 al. 1 LStup, 285 CP et 119 LEI sont objectivement de même gravité ; les faits les plus graves, qui doivent conduire à la fixation de la peine de base, sont aussi les plus récents, soit ceux du 13 juillet 2024, au cours desquels l'appelant a porté atteinte à l'intégrité physique d'un policier. Ils emportent une peine de base de quatre mois. Cette peine doit être aggravée de 45 jours pour les infractions à la LStup (peine théorique de deux mois, fixée en tenant compte des faibles quantités en jeu mais aussi de la diversité des stupéfiants en cause : cocaïne, ecstasy et cannabis, cette dernière drogue ne jouant qu'un rôle mineur). S'y ajoutent un mois pour les multiples infractions d'entrée illégale (peine théorique de dix jours pour chacune des cinq occurrences) et trois mois pour la violation de l'interdiction de périmètre (peine théorique d'un mois pour chacune des quatre occurrences). La peine encourue par l'appelant s'élève ainsi à neuf mois et demi. La CPAR est toutefois limitée par l'interdiction de la reformatio in pejus (art. 391 al. 2 CPP) ; dans cette mesure, la peine privative de liberté de huit mois prononcée par le premier juge sera confirmée, tout comme le sursis dont les conditions sont remplies et qui est acquis à l'appelant.</w:t>
      </w:r>
    </w:p>
    <w:p>
      <w:r>
        <w:rPr>
          <w:b/>
        </w:rPr>
        <w:t>E. 4</w:t>
      </w:r>
    </w:p>
    <w:p>
      <w:r>
        <w:t>4.1.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 bis CP – qui ne diffère pas fondamentalement de l'expulsion prescrite en son temps par l'art. 55 al. 1 a CP (ATF 123 IV 107 consid. 1 ; arrêts du Tribunal fédéral 6B_607/2018 du 10 octobre 2018 consid. 1.1 ; 6B_770/2018 du 24 septembre 2018 consid. 1.1) – ne contredit pas l'interdiction de la double peine qui découle notamment de l'art. 6 CEDH (arrêt du Tribunal fédéral 6B_1218/2023 du 7 mai 2025 destiné à la publication consid. 5.3). Il s'agit d'une Kann-Vorschrift (G. MÜNCH / F. DE WECK, Die neue Landesverweisung, in Art. 66a ff. StGB, Revue de l'avocat 2016, p. 163 ; G. FIOLKA / L. VETTERLI, Landesverweisung nach Art. 66a StGB als strafrechtliche Sanktion, cahier spécial, Plädoyer 5/16, p. 86). Le juge est donc libre, sans autre justification, de renoncer à l'expulsion facultative.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p. 3 ; arrêts du Tribunal fédéral 6B_1044/2023 du 20 mars 2024 consid. 4.1.5 ; 6B_122/2023 du 27 avril 2023 consid. 1.1.4). La question de savoir si l'atteinte à la garantie de la vie familiale est "nécessaire" au sens de l'art. 8 par. 2 CEDH implique en outre de prendre en considération les critères suivants :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(arrêts du Tribunal fédéral 6B_1044/2023 du 20 mars 2024 consid. 4.1.5 ; 6B_122/2023 du 27 avril 2023 consid. 1.1.4).</w:t>
      </w:r>
    </w:p>
    <w:p>
      <w:r>
        <w:rPr>
          <w:b/>
        </w:rPr>
        <w:t>E. 4.2</w:t>
      </w:r>
    </w:p>
    <w:p>
      <w:r>
        <w:t>Depuis le 7 mars 2023, l'inscription de l'expulsion dans le SIS est régie par le règlement (UE) n° 2018/1861 du Parlement européen et du Conseil du 28 novembre 2018 (Règlement SIS Frontières). Son art. 24 § 1 let. a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w:t>
      </w:r>
    </w:p>
    <w:p>
      <w:r>
        <w:rPr>
          <w:b/>
        </w:rPr>
        <w:t>E. 4.3</w:t>
      </w:r>
    </w:p>
    <w:p>
      <w:r>
        <w:t>En l'espèce, l'appelant discute l'expulsion prononcée en deux phrases (" Il n'y a aucune raison apparente qui permette de justifier une telle expulsion. Il est souligné que [l'appelant] est sans antécédent judiciaire. ") et ne fait ainsi valoir aucun motif de s'opposer au prononcé de l'expulsion, notamment aucun droit de rester en Suisse. Comme déjà relevé, l'appelant a commis en quelques mois une kyrielle d'infractions qui, prises séparément, ne sont pas d'une gravité très élevée, mais dont la multiplicité démontre un complet manque de respect pour l'ordre juridique suisse. Il réside en zone frontalière, à proximité immédiate du canton de Genève, et a démontré sa propension à pénétrer sur le territoire de canton pour y commettre des infractions. L'absence de visa valable, puis le prononcé d'une interdiction d'accès, n'ont pas suffi à le dissuader de venir, et les infractions reprochées sont allées s'aggravant (drogue de synthèse puis drogue dure ; séjour illégal puis agression sur un policier). Certes, l'appelant n'a pas d'antécédent, mais il n'en demeure pas moins qu'il a agi de façon répétée sur une brève période. Surtout, aucun intérêt personnel de l'appelant ne s'oppose à l'expulsion, alors que l'intérêt public à protéger la Suisse contre ses agissements est élevé. Dans ces circonstances, le prononcé d'une expulsion facultative apparaît justifié et proportionné, ce d'autant que le premier juge en a limité la durée au minimum légal de trois ans. En revanche, dans la mesure où l'appelant est encore semble-t-il en procédure d'asile en France, et au vu du quantum de la peine prononcée, qui n'atteint pas l'année, il sera renoncé à inscrire cette mesure dans le SIS. Sur ce dernier point uniquement, l'appel sera donc admis.</w:t>
      </w:r>
    </w:p>
    <w:p>
      <w:r>
        <w:rPr>
          <w:b/>
        </w:rPr>
        <w:t>E. 5</w:t>
      </w:r>
    </w:p>
    <w:p>
      <w:r>
        <w:t>L'appelant, qui succombe sur l'essentiel, supportera 80% des frais de la procédure envers l'État (art. 428 CPP), comprenant un émolument de décision de CHF 1'500.-. Le verdict de culpabilité étant confirmé, les frais de la procédure de première instance seront mis à la charge de l'appelant ; l'émolument complémentaire de jugement sera toutefois réduit de CHF 100.- pour tenir compte de l'admission très partiel de l'appel.</w:t>
      </w:r>
    </w:p>
    <w:p>
      <w:r>
        <w:rPr>
          <w:b/>
        </w:rPr>
        <w:t>E. 6</w:t>
      </w:r>
    </w:p>
    <w:p>
      <w:r>
        <w:t>Considéré globalement, l'état de frais produit par M e B______, défenseur d'office de A______, satisfait les exigences légales et jurisprudentielles régissant l'assistance judiciaire gratuite en matière pénale. La rémunération de M e B______ sera partant arrêtée à CHF 2'144.35 correspondant à neuf heures d'activité au tarif de CHF 200.-/heure plus la majoration forfaitaire de 10%, l'activité totale dépassant 30 heures, et l'équivalent de la TVA au taux de 8.1% en CHF 164.35.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