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P/19263/2021 vom 6. September 2022</w:t>
      </w:r>
    </w:p>
    <w:p>
      <w:r>
        <w:t>GE Cour de justice, 2022-09-06, FR</w:t>
      </w:r>
    </w:p>
    <w:p>
      <w:r>
        <w:rPr>
          <w:b/>
        </w:rPr>
        <w:t xml:space="preserve">Quelle: </w:t>
      </w:r>
      <w:r>
        <w:t>https://mcp.opencaselaw.ch/entscheid/ge_gerichte_P_19263_2021</w:t>
      </w:r>
    </w:p>
    <w:p>
      <w:r>
        <w:t>FR: GE_GERICHTE P/19263/2021 du 6 septembre 2022</w:t>
      </w:r>
    </w:p>
    <w:p>
      <w:r>
        <w:t>IT: GE_GERICHTE P/19263/2021 del 6 settembre 2022</w:t>
      </w:r>
    </w:p>
    <w:p>
      <w:pPr>
        <w:pStyle w:val="Heading2"/>
      </w:pPr>
      <w:r>
        <w:t>Regeste</w:t>
      </w:r>
    </w:p>
    <w:p>
      <w:r>
        <w:t>FIXATION DE LA PEINE;PEINE PRIVATIVE DE LIBERTÉ;CONCOURS D'INFRACTIONS | CP.139; LEI.115.al1.letb; CP.41; CP.47;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2.1.2. L'art. 115 al. 1 let. b LEI punit d'une peine privative de liberté d'un an au plus ou d'une peine pécuniaire quiconque séjourne illégalement en Suisse, notamment après l'expiration de la durée du séjour non soumis à autorisation ou du séjour autorisé.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2.2.2.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Tel était le cas en cas de commission d'une infraction à l'art. 119 LEI pour des motifs d'ordre public, la directive retour ne s'appliquant pas dans ce cas (ATF 143 IV 264 consid. 2.6.2). 2.2.3.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2.3</w:t>
      </w:r>
    </w:p>
    <w:p>
      <w:r>
        <w:t>En l'espèce, la faute de l'appelant est sérieuse. Il s'accommode parfaitement, et ce depuis des années, de vivre en Suisse dans l'illégalité en violation de la législation en vigueur. En situation irrégulière depuis 1993, hormis une courte période de trois mois où il a bénéficié d'un titre de séjour valable en vue d'un mariage qui n'a finalement jamais eu lieu, l'appelant manifeste par son comportement un profond mépris de l'ordre juridique suisse. Son comportement attente à la collectivité dans la mesure où ses interpellations successives monopolisent de nombreux acteurs appelés à assurer la sécurité publique. En outre, il a porté atteinte au patrimoine d'autrui ; s'il a certes restitué l'argent subtilisé, il l'a fait uniquement après avoir été interpellé. Sa collaboration dans la présente procédure a été bonne et il semble prendre conscience de ses agissements ; il a présenté spontanément des excuses à la partie plaignante lors de l'audience devant le TP. Néanmoins, cela ne suffit pas à faire oublier ses nombreux antécédents. Il y a concours d'infraction, ce qui constitue un facteur aggravant. L'appelant dit vouloir régulariser sa situation, notamment grâce à un mariage avec son amie, mais ne fournit aucune preuve de la concrétisation d'un tel projet ; le formulaire de demande en vue d'un mariage produit, dont on ignore s'il a été déposé, ne suffit pas à cet égard. L'appelant a d'ailleurs déclaré dans la procédure qu'il avait eu deux précédents projets de mariage en Suisse qui n'avaient pas été menés à terme pour différentes raisons. Une peine pécuniaire n'entre en ligne de compte pour aucune des infractions en cause, en particulier eu égard aux antécédents spécifiques de l'appelant et à l'absence d'effet dissuasif des peines pécuniaires précédemment prononcées à son encontre. La Directive européenne sur le retour ne trouve pas application en l'espèce, étant relevé qu'il est également condamné pour vol. De surcroît, l'appelant affirme être en mesure de s’acquitter d’une peine pécuniaire au motif que sa compagne serait disposée à subvenir à ses besoins. Outre le fait que cette allégation n'est étayée par aucune pièce et qu'on ignore la situation financière de sa compagne, il est évident que la peine pécuniaire doit être assumée par la personne condamnée et non par un tiers, fût-il un proche. La sanction pénale a un caractère éminemment personnel et doit être subie par l’auteur de l’infraction. Le vol est sanctionné par une peine-menace abstraitement plus importante que le séjour illégal, de sorte qu'il convient de fixer une peine privative de liberté de deux mois pour cette infraction, laquelle constitue la peine de base, et de l'augmenter de deux mois (peine théorique : trois mois) pour tenir compte du séjour illégal. Cependant, compte tenu de l'interdiction de la reformatio in pejus (art. 391 al. 2 CPP), la CPAR ne peut pas aller au-delà de la peine prononcée par le premier juge qui sera donc confirmée.</w:t>
      </w:r>
    </w:p>
    <w:p>
      <w:r>
        <w:rPr>
          <w:b/>
        </w:rPr>
        <w:t>E. 3</w:t>
      </w:r>
    </w:p>
    <w:p>
      <w:r>
        <w:t>L'appelant, qui succombe, supportera les frais de la procédure envers l'état, qui comprennent un émolument de procédure de CHF 1'200.- (art. 428 CPP ; art. 14 al. 1 let. e du règlement fixant le tarif des frais en matière pénale [RTFMP]). La mise à sa charge des frais de première instance sera confirmée (art. 426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