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P/19247/2024 vom 23. August 2024</w:t>
      </w:r>
    </w:p>
    <w:p>
      <w:r>
        <w:t>GE Cour de justice, 2024-08-23, FR</w:t>
      </w:r>
    </w:p>
    <w:p>
      <w:r>
        <w:rPr>
          <w:b/>
        </w:rPr>
        <w:t xml:space="preserve">Quelle: </w:t>
      </w:r>
      <w:r>
        <w:t>https://mcp.opencaselaw.ch/entscheid/ge_gerichte_P_19247_2024</w:t>
      </w:r>
    </w:p>
    <w:p>
      <w:r>
        <w:t>FR: GE_GERICHTE P/19247/2024 du 23 août 2024</w:t>
      </w:r>
    </w:p>
    <w:p>
      <w:r>
        <w:t>IT: GE_GERICHTE P/19247/2024 del 23 agosto 2024</w:t>
      </w:r>
    </w:p>
    <w:p>
      <w:pPr>
        <w:pStyle w:val="Heading2"/>
      </w:pPr>
      <w:r>
        <w:t>Regeste</w:t>
      </w:r>
    </w:p>
    <w:p>
      <w:r>
        <w:t>ASTUCE;MOTIVATION;FAUX INTELLECTUEL DANS LES TITRES;ESCROQUERIE;DROIT D'ÊTRE ENTENDU | CP.251; CP.146; Cst</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s'être prononcé sur l'infraction de faux dans les titres.</w:t>
      </w:r>
    </w:p>
    <w:p>
      <w:r>
        <w:rPr>
          <w:b/>
        </w:rPr>
        <w:t>E. 2.1</w:t>
      </w:r>
    </w:p>
    <w:p>
      <w:r>
        <w:t>Le droit d'être entendu, garanti par les art. 3 al. 2 let. c CPP et 29 al. 2 Cst. féd., impose au magistrat l'obligation de motiver sa décision afin, d'une part, que son destinataire puisse l'attaquer utilement et, d'autre part, que la juridiction de recours soit en mesure d'exercer son contrôle (ATF 139 IV 179 consid. 2.2; 138 I 232 consid. 5.1).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2.2</w:t>
      </w:r>
    </w:p>
    <w:p>
      <w:r>
        <w:t>En l'espèce, il faut concéder à la recourante que la décision querellée n'a pas traité l'infraction de faux dans les titres. Cela étant, la violation du droit d'être entendu a été réparée en instance de recours. Le Ministère public, invité à formuler des observations, s'est prononcé sur l'infraction précitée. La recourante a ensuite pu s'exprimer dans sa réplique. Dans ces circonstances, le renvoi de la cause constituerait une vaine formalité et aboutirait à un allongement inutile de la procédure. Partant, le vice sera considéré comme réparé dans le cadre de la procédure de recours.</w:t>
      </w:r>
    </w:p>
    <w:p>
      <w:r>
        <w:rPr>
          <w:b/>
        </w:rPr>
        <w:t>E. 3</w:t>
      </w:r>
    </w:p>
    <w:p>
      <w:r>
        <w:t>La recourante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du 14 octobre 2020 consid. 3.1). Dans le doute, lorsque les conditions d'une non-entrée en matière ne sont pas réalisées avec une certitude absolue, l'instruction doit être ouverte (arrêt 6B_196/2020 précité; ATF 143 IV 241 consid. 2.2.1; ATF 138 IV 86 consid. 4.1 ; ATF 137 IV 219 consid. 7).</w:t>
      </w:r>
    </w:p>
    <w:p>
      <w:r>
        <w:rPr>
          <w:b/>
        </w:rPr>
        <w:t>E. 3.2</w:t>
      </w:r>
    </w:p>
    <w:p>
      <w:r>
        <w:t>À teneur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ATF 135 IV 76 consid. 5.1; arrêt du Tribunal fédéral 7B_50/2022 du 27 juin 2024 consid. 3.4.2).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ATF 142 IV 153 consid. 2.2.2). Il y a notamment manœuvre frauduleuse lorsque l'auteur fait usage de titres falsifiés ou obtenus sans droit ou de documents mensongers (ATF 128 IV 18 consid. 3a; arrêts du Tribunal fédéral 6B_1092/2023 du 24 mai 2024 consid 2.2 et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ATF 143 IV 302 consid. 1.4.1).</w:t>
      </w:r>
    </w:p>
    <w:p>
      <w:r>
        <w:rPr>
          <w:b/>
        </w:rPr>
        <w:t>E. 3.3</w:t>
      </w:r>
    </w:p>
    <w:p>
      <w:r>
        <w:t>L'art. 251 ch. 1 CP réprime le comportement de quiconque, dans le dessein de porter atteinte aux intérêts pécuniaires ou aux droits d'autrui, ou de se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ATF 142 IV 119 consid. 2.1; arrêt du Tribunal fédéral 6B_55/2017 du 24 mars 2017 consid. 2.2). Le simple fait que l'expérience montre que certains écrits jouissent d'une crédibilité particulière ne suffit pas, même si dans la pratique des affaires il est admis que l'on se fie à de tels documents (ATF 146 IV 258 consid. 1.1; 142 IV 119 consid. 2.1 et les références citées). Selon une jurisprudence bien établie, un contrat dont le contenu est faux ne constitue en principe pas un titre car il ne bénéficie pas de la crédibilité accrue nécessaire (ATF 146 IV 258 consid. 1.1.1; 123 IV 61 consid. 5c/cc; 120 IV 25 consid. 3f; arrêts du Tribunal fédéral 6B_467/2019 du 19 juillet 2019 consid. 3.3.2 et 6B_72/2015 du 27 mai 2015 consid. 1.5).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consid. 1.1.1; 123 IV 61 consid. 5c/cc; 120 IV 25 consid. 3f). La forme authentique, dont la loi fait notamment dépendre la validité des ventes immobilières, est destinée à protéger les parties comme à accroître la sécurité générale du droit. Elle a pour effet que le titre fait foi des actes qu'il constate et dont l'inexactitude n'est pas prouvée (art. 9 CC). Un contrat passé en cette forme doit partant être complet et véridique; toutes les clauses objectivement ou subjectivement essentielles doivent être constatées dans le titre et correspondre à la volonté réelle des parties (arrêt du Tribunal fédéral 6S.438/1999 du 24 février 2020). Un acte authentique jouit ainsi d'une crédibilité accrue (ATF 110 IV 145 consid. 2a). La force probante accrue de l'art. 9 CC n'est donnée qu'en relation avec les faits dont l'exactitude est attestée par le titre authentique, c'est-à-dire ceux que l'officier public a personnellement constatés ou dont il est tenu de vérifier l'exactitude, indépendamment de savoir s'il a ou non procédé à cet examen dans le cas particulier (ATF 144 IV 13 consid. 2.2.4). Ne peuvent faire l'objet d'une constatation fausse que les faits sur lesquels le titre se prononce immédiatement, non les conditions factuelles ou juridiques de ceux-ci qui peuvent éventuellement s'en inférer médiatement (ATF 131 IV 125 consid. 4.5). Les documents contractuels ne valent pas titre en ce qui concerne l'absence de vices de volonté, ni même en ce qui concerne l'intention de les respecter (A. MACALUSO / L. MOREILLON / N. QUELOZ (éds), Commentaire romand, Code pénal II, Partie spéciale : art. 111-392 CP , Bâle 2017, n. 57 ad art. 251). 3.4.1. En l'espèce, la recourante reproche aux mis en cause de l'avoir, par un procédé astucieux, conduite à acquérir l'immeuble à un prix supérieur à sa valeur réelle. Des investigations sur les locataires – respectivement les travaux à entreprendre dans le local commercial – n'auraient en tout état de cause pas permis de découvrir "les subterfuges utilisés par les mis en cause" . Elle a tort. Tout d'abord, de son propre aveu, le loyer élevé du local commercial se justifiait par le financement des travaux, lesquels devaient être terminés au moment de la vente. Or, une visite dudit local lui aurait permis de constater l'absence totale de travaux et l'absence totale d'activité commerciale des mises en cause. L'opposition de ces dernières à la demande de visite aurait dû l'inciter à des vérifications, plutôt que de l'en dissuader, ce d'autant que rien ne permettait de supputer que le vendeur – au bénéfice du droit d'inspecter la chose louée en vertu de l'art. 257h al. 2 CO et du contrat de bail – se serait opposé à une telle visite. Par ailleurs, des investigations simples auraient permis de constater que les locataires ne disposaient d'aucune boîte aux lettres dans l'immeuble et n'exerçaient pas d'activité commerciale, ce qui était de nature à l'interpeller sur le bail conclu entre les mises en cause. Enfin, l'examen des demandes d'autorisation lui aurait appris que les coûts des travaux prévus ne correspondaient aucunement au chiffre communiqué par le vendeur pour leur financement, ce qui aurait raisonnablement dû éveiller des soupçons sur le loyer convenu. Or, elle n'a jamais été dissuadée de se rendre à l'OAC, et l'on ne voit pas non plus que cet office l'aurait empêchée de consulter ce dossier. L'on était en droit d'attendre de l'intéressée – eu égard au prix de vente et à ses connaissances particulières en matière immobilière – qu'elle procédât auxdites vérifications – somme toute peu complexes et à la portée d'un professionnel de la branche –. Une fois la vente exécutée, elle a d'ailleurs rassemblé sans difficulté apparente nombre d'informations contredisant les prétentions des mis en cause, confirmant par-là que celles-ci auraient aisément pu être collectées avant la vente. Que le contrat de vente réservait des litiges avec d'autres locataires ne la dispensait pas, bien au contraire, de se renseigner sur les mises en cause et sur la réalité des travaux qu'elles prétendaient vouloir entreprendre. La jurisprudence dont se prévaut la recourante ne lui est d'aucun secours, dès lors que dans ces cas les plaignants ne disposaient pas de connaissances spécifiques en matière immobilière et que des travaux d'aménagement avaient été réellement réalisés, ce qui ne leur permettait pas de se rendre compte, d'emblée, du prix réel de vente, respectivement des défauts de la chose. Il s'ensuit que les éléments constitutifs de l'infraction d'escroquerie ne sont pas remplis. Au vu de ce qui précède, faute de prévention pénale suffisante, point n'est besoin d'actes d'enquête. 3.4.2. S 'agissant de l'infraction à l'art. 251 CP, le contrat de bail du 18 juillet 2022 et l'état locatif ne revêtent pas de valeur probante accrue. Le premier document – revêtant la forme écrite simple – n'établit pas que les manifestations de volonté concordantes des parties correspondent à leur volonté réelle. Il ne prouve ni l'absence de vice de la volonté ni l'inexistence d'une simulation (cf. ATF 146 IV 258 consid. 1.1.1). Le second contient uniquement des déclarations unilatérales du vendeur, lesquelles ne seraient pas propre à prouver la véracité des loyers constatés. Par ailleurs, aucun indice ne permet de croire que les mises en cause seraient dans une position analogue à celle d'un garant. Il a en outre été constaté ci-dessus que la recourante était en mesure de vérifier les affirmations contenues dans les documents litigieux. Contrairement à ce que semble retenir la recourante, que l'état locatif soit annexé à un contrat passé en la forme authentique – soit un titre – n'est pas suffisant pour lui conférer une valeur probante accrue. Tout d'abord, rien ne permet de retenir – et la recourante ne l'allègue pas – que l'état locatif faisait partie intégrante du contrat de vente. Ensuite – et surtout –, le notaire ne déclare pas dans l'acte authentique avoir vérifié les indications données par le vendeur dans l'état locatif. Rien ne permet non plus de retenir qu'il eût été tenu de les vérifier, étant précisé que les documents contractuels ne valent pas titre en ce qui concerne l'absence de vices de volonté. Enfin, les arrêts cités par la recourante ne s'appliquent pas ici, dès lors que, dans ces cas, les prévenus avaient fourni aux lésés des états locatifs – respectivement des contrats de bail – falsifiés, soit des faux matériels. Or, dans le cas d'espèce, la recourante reproche aux mises en cause d'avoir constaté dans les écrits litigieux des faits inexacts, soit des faux intellectuels. Partant, les éléments objectifs de l'infraction de faux dans les titres ne sont pas remplis.</w:t>
      </w:r>
    </w:p>
    <w:p>
      <w:r>
        <w:rPr>
          <w:b/>
        </w:rPr>
        <w:t>E. 4</w:t>
      </w:r>
    </w:p>
    <w:p>
      <w:r>
        <w:t>Justifiée, l'ordonnance querellée sera donc confirmée.</w:t>
      </w:r>
    </w:p>
    <w:p>
      <w:r>
        <w:rPr>
          <w:b/>
        </w:rPr>
        <w:t>E. 5</w:t>
      </w:r>
    </w:p>
    <w:p>
      <w:r>
        <w:t>Dans la mesure où la violation du droit d'être entendu s'agissant de l'infraction de faux dans les titres a été réparée en instance de recours, la recourante supportera la moitié des frais de la procédure (cf. arrêt du Tribunal fédéral 7B_512/2023 du 30 septembre 2024), fixés en totalité à CHF 1'500.- (art. 428 al. 1 CPP; art. 13 al. 1 du Règlement fixant le tarif des frais en matière pénale, RTFMP; E 4 10.03), soit CHF 750.-, le solde étant laissé à la charge de l'État.</w:t>
      </w:r>
    </w:p>
    <w:p>
      <w:r>
        <w:rPr>
          <w:b/>
        </w:rPr>
        <w:t>E. 6</w:t>
      </w:r>
    </w:p>
    <w:p>
      <w:r>
        <w:t>La recourante, partie plaignante, n'a pas chiffré ni justifié ses prétentions en indemnité (art. 433 al. 2 cum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