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P/19208/2014 vom 14. Dezember 2018</w:t>
      </w:r>
    </w:p>
    <w:p>
      <w:r>
        <w:t>GE Cour de justice, 2018-12-14, FR</w:t>
      </w:r>
    </w:p>
    <w:p>
      <w:r>
        <w:rPr>
          <w:b/>
        </w:rPr>
        <w:t xml:space="preserve">Quelle: </w:t>
      </w:r>
      <w:r>
        <w:t>https://mcp.opencaselaw.ch/entscheid/ge_gerichte_P_19208_2014</w:t>
      </w:r>
    </w:p>
    <w:p>
      <w:r>
        <w:t>FR: GE_GERICHTE P/19208/2014 du 14 décembre 2018</w:t>
      </w:r>
    </w:p>
    <w:p>
      <w:r>
        <w:t>IT: GE_GERICHTE P/19208/2014 del 14 dicembre 2018</w:t>
      </w:r>
    </w:p>
    <w:p>
      <w:pPr>
        <w:pStyle w:val="Heading2"/>
      </w:pPr>
      <w:r>
        <w:t>Regeste</w:t>
      </w:r>
    </w:p>
    <w:p>
      <w:r>
        <w:t>CLASSEMENT DE LA PROCÉDURE ; CONFRONTATION À UN ACTE D'ORDRE SEXUEL ; CAPACITÉ DE DISCERNEMENT | CPP.319; CP.191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 représentée par sa curatrice (art. 106 al. 2 CPP) -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classé la procédure alors qu'il existerait selon elle des soupçons suffisants contre l'intimé d'avoir commis l'infraction que réprime l'art. 191 CP, seule infraction visée dans le recours et par conséquent seule infraction devant être examinée.</w:t>
      </w:r>
    </w:p>
    <w:p>
      <w:r>
        <w:rPr>
          <w:b/>
        </w:rPr>
        <w:t>E. 2.1</w:t>
      </w:r>
    </w:p>
    <w:p>
      <w:r>
        <w:t>Selon l'art. 319 CPP, le Ministère public ordonne le classement de tout ou partie de la procédure lorsqu'aucun soupçon justifiant une mise en accusation n'est établi. Le principe " in dubio pro duriore " découle du principe de la légalité (art. 5 al. 1 Cst. et 2 al. 2 CPP en relation avec les art. 319 al. 1 et 324 CPP; ATF 138 IV 86 consid. 4.2 p. 91; arrêt du Tribunal fédéral 6B_196/2017 du 5 septembre 2017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4.1.1 - 4.1.2 p. 90 ss; arrêt du Tribunal fédéral 6B_551/2015 du 24 février 2016 consid. 3). Le principe " in dubio pro duriore " exige donc simplement qu'en cas de doute, la procédure se poursuive. En effet, en cas de doute, ce n'est pas à l'autorité d'instruction ou d'accusation mais au juge matériellement compétent qu'il appartient de se prononcer.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arrêts 6B_193/2018 du 3 juillet 2018 consid. 2.1;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 er mai 2014 consid. 4.1.1). Dans tous les cas, l'incapacité doit être totale au moment de l'acte. Il suffit par conséquent qu'au moment du rapport sexuel, la victime se trouve dans un état qui l'empêche concrètement de s'opposer aux actes de l'auteur (J. HURTADO POZO, Droit pénal - partie spéciale , 2009, ad art. 191, p. 892 et les références citées). S'agissant des effets de l'alcool sur la capacité de discernement, il est utile de rappeler que, dans un domaine proche, soit celui de la responsabilité pénale, la jurisprudence retient qu'une personne présentant un taux d'alcoolémie dans le sang de 3 % et plus doit être considérée comme totalement irresponsable. Entre 2 et 3 % sa responsabilité sera en règle générale diminuée, alors qu'en dessous de 2 %, on admettra en principe une responsabilité pleine et entière. Il ne s'agit cependant que d'une présomption, qui peut être renversée en raison d'indices contraires (ATF 122 IV 49 consid. 1b ; 119 IV 120 consid. 2b ; 117 IV 292 consid. 2d ; arrêt du Tribunal fédéral 6B_960/2009 du 30 mars 2010 consid. 1.2).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 er mai 2014 consid. 3.2.1). Sur le plan subjectif, l'art. 191 CP est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(arrêt du Tribunal fédéral 6B_60/2015 du 25 janvier 2016 consid. 1.1.1).</w:t>
      </w:r>
    </w:p>
    <w:p>
      <w:r>
        <w:rPr>
          <w:b/>
        </w:rPr>
        <w:t>E. 2.3</w:t>
      </w:r>
    </w:p>
    <w:p>
      <w:r>
        <w:t>En l'espèce, la potentielle agression sexuelle alléguée par la recourante serait survenue en l'absence de témoins, mais dans un lieu relativement exigu dans lequel coexistaient de nombreuses personnes, de sorte que, d'une part, la parole de l'un s'oppose à la parole de l'autre et que, d'autre part, cette absence de témoins doit être prise en compte. Il est donc nécessaire, dans un tel cas, de se fonder sur la constance et la crédibilité des déclarations des parties, d'une part, et sur les circonstances ayant entouré les faits dénoncés d'autre part.</w:t>
      </w:r>
    </w:p>
    <w:p>
      <w:r>
        <w:rPr>
          <w:b/>
        </w:rPr>
        <w:t>E. 2.3.1</w:t>
      </w:r>
    </w:p>
    <w:p>
      <w:r>
        <w:t>Le lieu où les faits se seraient produits parait peu propice à leur accomplissement. En effet, la mezzanine, d'une surface relative, était pour l'essentiel visible du salon situé en dessous, également de petite taille. Ce lieu accueillait de nombreuses personnes, environ quinze en début de soirée et deux de plus avec l'arrivée du couple C______, et deux témoins ont confirmé l'existence d'un grand va-et-vient entre le salon et la mezzanine, ce qui rend peu probable que les faits décrits aient pu se dérouler sans que quiconque ne remarque quoi que ce soit. Cet élément, dont ressort l'absence marquée de prévention possible, penche notablement en faveur d'un acquittement.</w:t>
      </w:r>
    </w:p>
    <w:p>
      <w:r>
        <w:rPr>
          <w:b/>
        </w:rPr>
        <w:t>E. 2.3.2</w:t>
      </w:r>
    </w:p>
    <w:p>
      <w:r>
        <w:t>La recourante affirme qu'elle était réveillée lorsque H______ était monté sur la mezzanine, qu'elle avait redescendu sa robe et que C______ était accroupi derrière elle. H______ n'a rien vu de tel et a expliqué que son amie était endormie lorsqu'il était monté sur la mezzanine et que le prévenu se trouvait à deux mètres d'elle, vers la platine. Il y a donc bien une contradiction fondamentale entre ces propos, ainsi que le Procureur l'a relevé, ce qui est un autre élément pertinent pour considérer qu'un acquittement est plus vraisemblable qu'une condamnation.</w:t>
      </w:r>
    </w:p>
    <w:p>
      <w:r>
        <w:rPr>
          <w:b/>
        </w:rPr>
        <w:t>E. 2.3.3</w:t>
      </w:r>
    </w:p>
    <w:p>
      <w:r>
        <w:t>H______ n'a pas trouvé son amie bizarre lorsqu'il l'a réveillée, mais peu bien, si l'on retient sa première déposition, ou ne présentant aucun signe particulier si l'on retient la seconde. La recourante elle-même s'est considérée comme " pompette ", mais pas ivre. Quant au prévenu, il l'a trouvée " joyeuse ". Ainsi, la condition de l'absence totale de discernement, nécessaire à l'application de l'art. 191 CP, fait défaut, de l'aveu même de la recourante, qui s'est déclarée en une autre occasion " lucide ". S'ensuit l'absence d'un élément constitutif de la seule infraction dont la recourante sollicite la poursuite, qui milite indiscutablement en faveur d'un acquittement.</w:t>
      </w:r>
    </w:p>
    <w:p>
      <w:r>
        <w:rPr>
          <w:b/>
        </w:rPr>
        <w:t>E. 2.3.4</w:t>
      </w:r>
    </w:p>
    <w:p>
      <w:r>
        <w:t>En conséquence, aucun élément ne vient corroborer la version de la recourante, sinon des constats postérieurs qui ne permettent pas de contrebalancer les arguments figurant ci-dessus. Le recours doit donc être rejeté.</w:t>
      </w:r>
    </w:p>
    <w:p>
      <w:r>
        <w:rPr>
          <w:b/>
        </w:rPr>
        <w:t>E. 3.1</w:t>
      </w:r>
    </w:p>
    <w:p>
      <w:r>
        <w:t>. L'art. 138 CPP, qui traite de l'indemnisation du conseil juridique gratuit, renvoie, pour le calcul et les modalités de cette indemnisation, à l'art. 135 CPP. Seules les heures nécessaires sont indemnisées; elles sont appréciées en fonction notamment de la nature, de l'importance, et des difficultés de la cause, de la valeur litigieuse, de la qualité du travail fourni et du résultat obtenu (art. 16 al. 2 RAJ). Le conseil juridique gratuit de la recourante a fait parvenir avec son recours son état de frais, dont il ressort l'activité suivante : 420 minutes pour la relecture du dossier et la rédaction du recours et 30 minutes pour la rédaction du bordereau de pièces, soit 450 minutes ou 7 heures 30, auxquelles elle ajoute un forfait de 20% du temps consacré.</w:t>
      </w:r>
    </w:p>
    <w:p>
      <w:r>
        <w:rPr>
          <w:b/>
        </w:rPr>
        <w:t>E. 3.2</w:t>
      </w:r>
    </w:p>
    <w:p>
      <w:r>
        <w:t>Le forfait de 20% ne se justifie pas en instance de recours.</w:t>
      </w:r>
    </w:p>
    <w:p>
      <w:r>
        <w:rPr>
          <w:b/>
        </w:rPr>
        <w:t>E. 3.3</w:t>
      </w:r>
    </w:p>
    <w:p>
      <w:r>
        <w:t>En l'espèce, il s'est agi, pour le conseil de la recourante, de rédiger le présent recours, dans une procédure parfaitement maîtrisée, qui eût dû permettre une présentation moins exhaustive. Dès lors, l'activité facturée par l'intéressée sera ramenée à 5 heures, temps raisonnablement nécessaire pour examiner l'ordonnance litigieuse et présenter les griefs ciblés objets de son recours. L'indemnisation de l'avocat sera, en conséquence, arrêtée à CHF 1'000.- (5 heures d'activité indemnisées au tarif horaire de CHF 200.- plus TVA (7.7%), soit 1'077.-).</w:t>
      </w:r>
    </w:p>
    <w:p>
      <w:r>
        <w:rPr>
          <w:b/>
        </w:rPr>
        <w:t>E. 4</w:t>
      </w:r>
    </w:p>
    <w:p>
      <w:r>
        <w:t>La recourante succombe. Bien qu'au bénéfice de l'assistance juridique, elle supportera les frais envers l'État, qui comprendront un émolument de CHF 900.- (art. 428 al. 1 CPP et 13 al. 1 du Règlement fixant le tarif des frais en matière pénale, RTFMP ; E 4 10.03; arrêt du Tribunal fédéral 1B_203/2011 du 18 mai 2011 consid. 4).</w:t>
      </w:r>
    </w:p>
    <w:p>
      <w:r>
        <w:rPr>
          <w:b/>
        </w:rPr>
        <w:t>E. 5</w:t>
      </w:r>
    </w:p>
    <w:p>
      <w:r>
        <w:t>C______, qui plaide en personne, n'ayant sollicité aucune indemnité, rien ne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