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P/191/2021 vom 14. Oktober 2021</w:t>
      </w:r>
    </w:p>
    <w:p>
      <w:r>
        <w:t>GE Cour de justice, 2021-10-14, FR</w:t>
      </w:r>
    </w:p>
    <w:p>
      <w:r>
        <w:rPr>
          <w:b/>
        </w:rPr>
        <w:t xml:space="preserve">Quelle: </w:t>
      </w:r>
      <w:r>
        <w:t>https://mcp.opencaselaw.ch/entscheid/ge_gerichte_P_191_2021</w:t>
      </w:r>
    </w:p>
    <w:p>
      <w:r>
        <w:t>FR: GE_GERICHTE P/191/2021 du 14 octobre 2021</w:t>
      </w:r>
    </w:p>
    <w:p>
      <w:r>
        <w:t>IT: GE_GERICHTE P/191/2021 del 14 ottobre 2021</w:t>
      </w:r>
    </w:p>
    <w:p>
      <w:pPr>
        <w:pStyle w:val="Heading2"/>
      </w:pPr>
      <w:r>
        <w:t>Regeste</w:t>
      </w:r>
    </w:p>
    <w:p>
      <w:r>
        <w:t>DISPOSITIONS PÉNALES DE LA LCR;CONTRAINTE(DROIT PÉNAL);CHANTAGE;TENTATIVE(DROIT PÉNAL);FIXATION DE LA PEINE;EXPULSION(DROIT PÉNAL) | LCR.90; LCR.91; LCR.92; LCR.95; CP.286; CP.156; CP.181; CP.47; CP.49; CP.41; CP.34; CP.66abis</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2.1.2. Conformément à l’art. 34 CP, la peine pécuniaire est de trois jours-amende au moins et ne peut excéder 180 jours-amende, le juge fixant leur nombre en fonction de la culpabilité de l’auteur (al. 1).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Pour choisir la nature de la peine, le juge doit prendre en considération l'opportunité de la sanction déterminée, ses effets sur l'auteur et son milieu social, ainsi que son efficacité préventive (ATF 134 IV 82 consid. 4.1 p. 84).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(let. b). Il doit motiver le choix de la peine privative de liberté de manière circonstanciée (al. 2). 2.1.3.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Une peine d'ensemble en application du principe de l'aggravation suppose, à la différence de l'absorption et du cumul des peines, que le tribunal ait fixé (au moins de manière théorique) les peines (hypothétiques) de tous les délits (ATF 144 IV 217 consid. 3.5.3). 2.2.1. En l'espèce, la faute de l'appelant est lourde. Il s'en est pris à de multiples biens juridiques, pendant une période pénale qui s'étend du 13 octobre 2020 au16 janvier 2021. Les infractions en matière de circulation routières, sérieuses et répétées, démontrent, outre une volonté délictuelle prononcée, un important mépris de sa part vis-à-vis des règles en vigueur, et celles commises au détriment de la partie plaignante, même sous forme de tentative, un manque complet de respect pour la liberté de celle-ci en vue de faire égoïstement valoir ses intérêts propres. Sa collaboration a été, comme relevé par le premier juge, médiocre et ce n'est qu'en appel qu'il admet finalement les faits, en ce sens qu'il renonce à les contester. Il continue cependant à en minimiser la gravité, affirmant n'avoir pas causé de danger lors de la commission de ses infractions LCR ou soutenant que la plaignante était une personne particulièrement sensible qui ne l'appréciait pas. Sa prise de conscience semble au mieux ébauchée. Il a de nombreux antécédents, ce qui démontre qu'il est déjà ancré de manière importante dans la délinquance, alors que les précédentes peines prononcées à son encontre n'ont pas eu d'effet dissuasif, cela quand bien même elles ont augmenté au fur et à mesure de l'aggravation progressive des infractions commises. Il y a concours d'infractions, facteur aggravant. Au vu de ce qui précède, seule une peine privative de liberté peut entrer en ligne de compte pour toutes les infractions considérées, ce à quoi conclut d'ailleurs l'appelant au-delà des développements contenus dans son mémoire d'appel. À ce propos, il sera relevé que les jurisprudences citées par l'appelant pour appuyer le prononcé de jours-amende en cas de récidive de conduite sans autorisation ne lui sont d'aucun secours, puisque dans les arrêts AARP/148/2021 et AARP/21/2020 , la Cour a précisément prononcé une peine privative de liberté, malgré une prise de conscience de l'intéressé dans le second cas. 2.2.2. La peine de base pour l'infraction la plus grave est d'un an (art. 90 al. 3 et 4 LCR). Il convient d'augmenter cette peine dans une juste proportion, soit d'un mois pour les deux conduites sans autorisation (peine théorique de deux mois), trois mois pour les deux dérobades (peine théorique de six mois), 15 jours pour la tentative d'extorsion et chantage (peine théorique un mois) et 15 jours pour la tentative de contrainte (peine hypothétique d'un mois). Les mauvais traitements allégués, si tant est qu'ils puissent avoir une influence sur la peine à prononcer, ne sont pas établis. En fin de compte, la peine de 16 mois prononcée par le TP paraît globalement adéquate et sera confirmée, le MP ne l'ayant pas contestée. L'appelant ne plaide à juste titre pas l'octroi du sursis, ne conteste pas la peine pécuniaire ainsi que l'amende prononcées et la non révocation du sursis antérieur lui est acquise.</w:t>
      </w:r>
    </w:p>
    <w:p>
      <w:r>
        <w:rPr>
          <w:b/>
        </w:rPr>
        <w:t>E. 3</w:t>
      </w:r>
    </w:p>
    <w:p>
      <w:r>
        <w:t>3.1.1.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3.1.2. Comme toute décision étatique, le prononcé d'une expulsion non obligatoire doit respecter le principe de la proportionnalité ancré aux art. 5 al. 2 et 36 al. 2 et 3 de la Constitution fédérale de la Confédération suisse (Cst). Il convient ainsi d'examiner si l'intérêt public à l'expulsion l'emporte sur l'intérêt privé de la personne à demeurer en Suisse. Une telle pesée des intérêts répond également aux exigences découlant de l'art. 8 par. 2 de la Convention de sauvegarde des droits de l'homme et des libertés fondamentales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 Le juge doit ainsi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Au sujet des infractions en matière de circulation routière, la Cour européenne des droits de l'Homme a indiqué que si elles constituaient un danger potentiel, elles devaient néanmoins être appréciées à la lumière des sanctions relativement légères dont elles faisaient normalement l'objet (cf. arrêt CourEDH Emre § 75 ; arrêt du Tribunal fédéral 6B_506/2017 du 14 février 2018 consid. 2.5.1 in medio = SJ 2018 I 397). Le Tribunal fédéral a jugé, dans le cas d'un justiciable qui ne connaissait son amie que depuis deux ans et ne vivait avec elle que depuis le début de l'année 2017, qu'une telle relation de concubinage, soit d'une durée relativement courte au regard des exigences jurisprudentielles en la matière et dépourvue d'enfant commun – même en gestation –, ne pouvait être assimilée à une véritable union conjugale (ATF 138 III 157 consid. 2.4 p. 162 ; arrêts du Tribunal fédéral 2C_105/2017 du 8 mai 2018 consid. 2.5 destiné à la publication ; 2C_97/2010 du 4 novembre 2010 consid. 3.3).</w:t>
      </w:r>
    </w:p>
    <w:p>
      <w:r>
        <w:rPr>
          <w:b/>
        </w:rPr>
        <w:t>E. 3.2</w:t>
      </w:r>
    </w:p>
    <w:p>
      <w:r>
        <w:t>En l'espèce, l'appelant s'est rendu coupable de nombreuses infractions dès son arrivée en Suisse, pour ainsi dire sans discontinuer. S'il ne répond peut-être pas strictement à la définition du touriste criminel visé par le législateur, il n'en demeura pas moins qu'il n'est manifestement pas venu en Suisse pour y travailler légalement mais a au contraire commis un nombre important d'infractions pendant la durée de son séjour. Si l'essentiel de ces infractions relèvent de la législation en matière de circulation routière, elles sont nombreuses et variées, de sorte que prises dans leur ensemble, elles dénotent un comportement portant sérieusement atteinte à la sécurité publique. L'appelant est d'ailleurs malvenu de soutenir qu'il n'a créé aucun danger par ses infractions routières, le comportement adopté en particulier le 18 novembre 2020 n'ayant selon toute vraisemblance causé aucune victime non par sa seule volonté mais bien plutôt par le fait du hasard. Face à ce constat, l'appelant ne peut invoquer qu'un séjour en Suisse d'une durée très limitée puisque de quelques mois seulement, période durant laquelle il n'a exercé aucune activité. Il n'a en définitive aucun lien avec la Suisse en dehors des infractions qu'il y commet, hormis sa relation somme toute récente avec son amie. La promesse d'embauche qu'il produit en appel, faisant état d'une simple possibilité d'emploi sans aucune indication de salaire ou d'horaire de travail, ne saurait non plus fonder un lien important avec la Suisse. On ne voit par ailleurs pas que sa réintégration serait plus difficile en France, pays dont il est national, où il a déjà travaillé et où vivent son fils et la mère de celui-ci. Ainsi, l'intérêt public à son expulsion l'emporte clairement sur son intérêt privé à demeurer en Suisse. Compte tenu de la détermination dont il a fait preuve à ne pas respecter la loi et à se soustraire au contrôle de la police, une mesure d'expulsion apparaît de toute évidence nécessaire pour éviter qu'il ne récidive encore en Suisse, sa seule bonne volonté n'étant ni très crédible ni convaincante. La durée de l'expulsion retenue par le premier juge, arrêtée à son minimum légal, peut être confirmée. Il n'y a pas lieu d'étendre la mesure d'expulsion prononcée à l'ensemble de l'espace Schengen, le prévenu étant ressortissant d'un État membre.</w:t>
      </w:r>
    </w:p>
    <w:p>
      <w:r>
        <w:rPr>
          <w:b/>
        </w:rPr>
        <w:t>E. 4</w:t>
      </w:r>
    </w:p>
    <w:p>
      <w:r>
        <w:t>L'appelant, qui succombe, supportera les frais de la procédure envers l'État (art. 428 CPP).</w:t>
      </w:r>
    </w:p>
    <w:p>
      <w:r>
        <w:rPr>
          <w:b/>
        </w:rPr>
        <w:t>E. 5.1</w:t>
      </w:r>
    </w:p>
    <w:p>
      <w:r>
        <w:t>Considéré globalement, l'état de frais produit par M e C______, défenseure d'office de A______, satisfait les exigences légales et jurisprudentielles régissant l'assistance judiciaire gratuite en matière pénale, sous réserve des 45 minutes de prise de connaissance du jugement motivé et des 25 minutes pour la déclaration d'appel, activités incluses dans le forfait (arrêt du Tribunal fédéral 6B_838/2015 du 25 juillet 2016 consid. 3.5.2 ; voir aussi les décisions de la Cour des plaintes du Tribunal pénal fédéral BB.2016.34 du 21 octobre 2016 consid. 4.1 et 4.2 et BB.2015.85 du 12 avril 2016 consid. 3.5.2 et 3.5.3). La rémunération de M e C______ sera partant arrêtée à CHF 1'723.35 correspondant à 7h50 heures d'activité au tarif de CHF 200.-/heure plus la majoration forfaitaire de 10% (activité non soumise à 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