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P/19172/2013 vom 21. Januar 2015</w:t>
      </w:r>
    </w:p>
    <w:p>
      <w:r>
        <w:t>GE Cour de justice, 2015-01-21, FR</w:t>
      </w:r>
    </w:p>
    <w:p>
      <w:r>
        <w:rPr>
          <w:b/>
        </w:rPr>
        <w:t xml:space="preserve">Quelle: </w:t>
      </w:r>
      <w:r>
        <w:t>https://mcp.opencaselaw.ch/entscheid/ge_gerichte_P_19172_2013</w:t>
      </w:r>
    </w:p>
    <w:p>
      <w:r>
        <w:t>FR: GE_GERICHTE P/19172/2013 du 21 janvier 2015</w:t>
      </w:r>
    </w:p>
    <w:p>
      <w:r>
        <w:t>IT: GE_GERICHTE P/19172/2013 del 21 gennaio 2015</w:t>
      </w:r>
    </w:p>
    <w:p>
      <w:pPr>
        <w:pStyle w:val="Heading2"/>
      </w:pPr>
      <w:r>
        <w:t>Regeste</w:t>
      </w:r>
    </w:p>
    <w:p>
      <w:r>
        <w:t>PRINCIPE DE L'ACCUSATION; VIOL; INFRACTIONS CONTRE L'INTÉGRITÉ SEXUELLE; STUPÉFIANT; FIXATION DE LA PEINE; CONCOURS D'INFRACTIONS; PEINE; FRAIS JUDICIAIRES; ASSISTANCE JUDICIAIRE | CP.190; CPP.10; CPP.9; CPP.324; CP.189; CP.190; CP.200; LStup.19.1.c; CP.47; CP.49; CPP.135; CPP.138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2.2</w:t>
      </w:r>
    </w:p>
    <w:p>
      <w:r>
        <w:t>En l'espèce, des faits tels que décrits dans l'acte d'accusation, on comprend qu'il est reproché à A______ d'avoir entrainé C______, avec laquelle il voulait avoir une relation sexuelle, derrière une camionnette, de s'être montré agressif verbalement, de l'avoir secouée puis penchée en avant en la tenant par la nuque, de lui avoir ensuite retiré son pantalon, baissé le sien et posé le préservatif que C______ lui avait remis sur son pénis en érection, pour ensuite saisir la jeune femme par la taille, la tourner et la pénétrer par derrière, alors qu'elle pleurait et lui demandait d'arrêter. Ces faits correspondent aux éléments constitutifs du viol, dès lors qu'ils décrivent le comportement d'un homme qui contraint une femme à subir l'acte sexuel, en la mettant hors d'état de résister. On comprend en particulier qu'il est reproché à A______ d'avoir, par son comportement agressif et violent, tant verbal (il crie) que physique (il la secoue, la penche, la tient par la nuque, lu retire son pantalon, la saisit par la taille, la tourne), brisé la résistance de la victime afin de lui faire subir l'acte sexuel. Cette description englobe tous les éléments constitutifs de l'infraction de viol et est suffisamment précise pour que l'appelant ait pu exercer efficacement ses droits à la défense. Il en va de même pour l'infraction à la LStup, l'appelant étant mis en cause pour avoir emmené F______, qui voulait acheter de la cocaïne, dans un lieu déterminé où il y avait des dealers et directement vendu, ou permis à F______ d'acheter auprès de ces dealers, 3 à 4 g de cette substance. Le comportement décrit réalise l'infraction à l'art. 19 al. 1 let. c LStup, qui punit celui qui ans droit, aliène ou prescrit des stupéfiants, en procure de toute autre manière à un tiers ou en met dans le commerce, soit en particulier celui qui vend de la drogue ainsi que celui qui intervient en tant qu'intermédiaire dans une transaction, en organisant un rendez-vous, en fournissant un nom, une adresse ou un numéro de téléphone (cf. B. CORBOZ, Les infractions en droit suisse , volume II, 3e édition, Berne 2010, n. 35 ad art. 19 LStup). Sur ce point également, l'appelant a pu exercer de manière adéquate son droit à la défense. Les griefs tirés d'une violation de la maxime accusatoire sont ainsi rejetés.</w:t>
      </w:r>
    </w:p>
    <w:p>
      <w:r>
        <w:rPr>
          <w:b/>
        </w:rPr>
        <w:t>E. 3.1</w:t>
      </w:r>
    </w:p>
    <w:p>
      <w:r>
        <w:t>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3.2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 volume I, 3e édition, Berne 2010, n. 7 ad art. 190 CP). Pour que la contrainte soit réalisée, il faut que l'auteur ait créé une situation de contrainte dans un contexte donné. Il suffit que la victime ait, dans un premier temps, opposé de la résistance dans la mesure où elle pouvait le faire (ATF 131 IV 107 cons. 2.2). Pour déterminer si l'on se trouve en présence de contrainte sexuelle, il faut procéder à une appréciation globale des circonstances concrètes déterminantes. Une appréciation individualisée est nécessaire, laquelle doit reposer sur des éléments suffisamment typiques (ATF 6B_252/2008 cons. 3.2 ; 6B_891/2009 cons. 3.1 ; 6B_1088/2009 cons. 3.1). Il suffit notamment que, selon les circonstances concrètes, la soumission de la victime soit compréhensible (ATF 133 IV 49 cons. 6 ; 131 IV 167 cons. 3). Il y a toujours viol lorsqu'une femme en état de résister a été contrainte à l'acte sexuel et il importe peu de savoir si sa résistance a été brisée ou si elle a renoncé d'emblée à toute résistance en raison de la menace, de la violence exercée par son auteur ou encore parce qu'i lui apparaît que la situation est sans espoir, même si elle demande à son agresseur de mettre un préservatif (C. FAVRE / M. PELLET / P. STOUDMANN, Code pénal annoté , 3 ème éd., Lausanne 2011, n° 1.4 ad art. 190 CP).</w:t>
      </w:r>
    </w:p>
    <w:p>
      <w:r>
        <w:rPr>
          <w:b/>
        </w:rPr>
        <w:t>E. 3.3</w:t>
      </w:r>
    </w:p>
    <w:p>
      <w:r>
        <w:t>En l'espèce, il est constant que les parties se sont rencontrées le 15 décembre 2013 vers 5h du matin à la sortie de la discothèque T______ à H______. Rejoints par les personnes avec lesquelles ils avaient passé la soirée, ils ont quitté la discothèque à bord de la voiture de F______, la plaignante étant assise derrière entre l'appelant et le témoin I______, tandis que sa collègue J______ était assise sur le siège passager avant. Il ressort également des divers témoignages que c'est à la demande de la plaignante ou de sa collègue J______ que le conducteur de la voiture s'est arrêté sur le parking de L______, sur lequel plusieurs véhicules utilitaires étaient parqués, à proximité du lieu d'habitation et de travail des deux jeunes femmes, lesquelles voulaient rentrer chez elles. La partie plaignante soutient qu'une fois descendue de la voiture, l'appelant a insisté pour qu'elle le suive derrière une camionnette, prétextant vouloir lui parler, puis s'est montré insistant et agressif, a serré son bras, l'a secouée et essayé de la pencher en avant, en la tenant par la nuque. Il a fini par réussir à lui tirer le pantalon vers le bas, a hurlé et, lorsqu'elle a compris qu'il allait la violer, elle a pris un préservatif de son sac et le lui a mis (ou remis pour qu'il le mette), afin d'éviter de contracter une maladie. L'appelant l'a ensuite retournée, penchée en avant et violée, en la tenant par la taille, la plaignante n'ayant pas osé bouger. A l'inverse, l'appelant conteste avoir pénétré la plaignante, qu'il avait certes embrassée et caressée, dans l'idée de se rendre ensuite chez elle, mais qu'il avait ensuite repoussée ne voulant pas avoir un rapport sexuel à l'extérieur, nonobstant l’insistance de la jeune femme. Confrontée à des versions contradictoires, la Cour de céans considère, à l'instar des premiers juges, que l'appelant a bien usé de contrainte pour amener la partie plaignante, sans son consentement, à subir l'acte sexuel. Elle forge sa conviction sur la base des éléments suivants. La partie plaignante a déclaré de manière constante qu'elle avait été contrainte sexuellement par l'appelant, sur le parking de L______. Elle a d'ailleurs requis l'aide de la police, sa collègue J______ s'étant finalement résolue à arrêter une automobiliste, évoquant une agression sexuelle, ce que le témoin Q______ a relayé lors de son appel à la CECAL. Cette dernière a en outre affirmé avoir entendu des cris de femme, avoir vu la plaignante dénudée sortir d'un parking, repoussée ensuite par A______, ce qui concorde avec les déclarations du brigadier W______, qui a vu l'intimée plus ou moins dévêtue et en pleurs et l'appelant affairé avec son pantalon. S'agissant de l'état de la jeune femme, les inspecteurs X______ et Y______, ainsi que le brigadier W______, ont tous constaté que la plaignante était choquée. Le témoin J______ a confirmé que l'appelant s'était montré violent à l'égard de l'intimée, qu'il ne voulait pas lâcher, et que cette dernière pleurait beaucoup et était paniquée. Quant à F______, il a aussi vu la plaignante en état de choc et traumatisée, tandis que le témoin I______, nonobstant son souvenir assez flou de la soirée, se rappelle d'une fille qui criait d'arrêter. L'ensemble de ces éléments corrobore l'agression sexuelle dénoncée par la plaignante plutôt que les ébats consentis que l'appelant aurait interrompus. La présence de l'ADN de l'appelant et de la plaignante sur un emballage de préservatif est un élément à charge supplémentaire. L'appelant, qui affirme qu'il n'a jamais été question de préservatif, soutient que son ADN pourrait avoir été transféré par la plaignante. Or, cet argument n'est pas déterminant et il importe en définitive peu de savoir si l'appelant a touché cet emballage ou si c'est la plaignante qui a transféré l'ADN de son agresseur. La présence de l'ADN des deux parties sur le même emballage retrouvé par terre sur les lieux est un élément corroboratif supplémentaire s'agissant de la commission d'un acte sexuel, de même que la présence de l'ADN de la plaignante sur le sexe de l'appelant, et, surtout, avalise le récit de celle-là. Enfin, l'erreur contenue dans le rapport de la BPTS du 1 er février 2014 a été expliquée et corrigée dans un rapport complémentaire, étant encore observé que les analyses ADN ont été aussi effectuées par le CURML, lequel est parvenu aux mêmes résultats. Il sera encore relevé que la plaignante s'est soumise le même jour à un examen médical et que les ecchymoses et dermabrasions constatées sur son corps concordent aussi avec l'agression subie, l'absence de lésions à l'examen gynécologique n'étant ni à charge ni à décharge selon les légistes. Le fait que le médecin-légiste ait mentionné que la plaignante lui avait rapporté une agression sexuelle qui était intervenue lorsqu'elle était allongée par terre sur le dos s'explique par l'absence d'interprète lors de l'examen médical. La plaignante a déclaré dès sa première audition par la police et tout au long de la procédure qu'elle avait été violée debout et par derrière et n'avait aucune raison de fournir un autre récit au médecin-légiste. Les déclarations de l'appelant sont par ailleurs peu crédibles et contiennent des mensonges, parmi lesquels le fait que la plaignante avait insisté pour "baiser" avec lui sur le parking, alors que les réticences des deux jeunes femmes apparaissent déjà lors du démarrage de la voiture à la sortie de la discothèque et que l'appelant a lui-même concédé qu'il avait dû rassurer l'intimée pour qu'elle le suive derrière les camionnettes. Les témoins J______ et F______ concordent d'ailleurs pour dire que l'appelant se montrait insistant et que la plaignante était apeurée. Il en va de même du fait que l'appelant conteste formellement l'utilisation d'un préservatif, nonobstant l'emballage retrouvé sur les lieux et les résultats des analyses ADN. Le vol d'argent, qui serait pour l'appelant à l'origine de sa réaction agressive, n'explique pas pour quelle raison la plaignante pleurait déjà bien avant l'épisode de l'argent tombé par terre. On relèvera d'ailleurs que le témoin F______, qui avait pourtant intérêt à minimiser la situation du fait qu'il était aussi suspecté d'avoir participé au viol, n'a pas évoqué immédiatement et spontanément l'épisode de l'argent tombé par terre mais uniquement lors de son troisième interrogatoire et sur question de la police française, cet incident étant clairement relégué en second plan. A l'inverse, même si ce témoin affirme n'avoir pas vu de rapport sexuel, il a tout de suite admis qu'il y avait eu un problème de consentement et qu'il était question de contrainte. Quant au témoin J______, elle a affirmé ne pas avoir entendu parler d'un vol d'argent sur le parking. Enfin, il est avéré que F______ a dit au témoin I______ que "ça pue" et que la police allait arriver, montrant ainsi son inquiétude vu la gravité de la situation. On relèvera aussi que l'appelant n'a pas hésité à mentir sur des éléments périphériques, sa consommation de cocaïne en particulier, révélée par les examens, ce qui discrédite encore ses déclarations. Le fait que les témoins F______ et J______ n'aient pas assisté à l'acte sexuel proprement dit ne s'inscrit pas à faux avec le viol décrit par la plaignante. Il est en effet constant que les parties étaient à l'écart des autres, derrière les camionnettes, pendant une vingtaine de minutes, soit le temps qui s'est écoulé entre le moment où F______ a parqué sa voiture et est reparti pour la première fois, durant lesquels les autres protagonistes n'ont fait que quelques allers et retours. En outre, tant Q______ que le témoin J______ ont confirmé avoir entendu une femme hurler, le viol étant intervenu lorsque A______ était seul avec la plaignante. Force est d'ailleurs de constater qu'aucun des témoins n'a dit avoir vu A______ avec son pantalon baissé, alors que les parties s'accordent pour dire que tel était bien le cas. Enfin, le fait que la procédure contre I______ a été classée n'est pas révélateur du fait que les déclarations de la plaignante ne seraient pas crédibles, mais résulte de l'appréciation faite par le Ministère public du rôle de l'intéressé lors de l'agression. La plaignante a certes été parfois peu précise et son récit contient quelques variations, notamment au sujet de son sac à main (qu'elle avait avec elle ou pas) ou sur l'utilisation du préservatif (mis par elle ou par lui). Ses explications sont toutefois constantes sur les faits essentiels et ne sont contredites par aucun élément objectif du dossier, contrairement à ce qui s'avère être le cas pour celles de l'appelant. Au vu de ce qui précède, la CPAR dispose d'un faisceau d'indices concordants suffisant pour fonder un verdict de culpabilité. Il sera ainsi retenu que le prévenu a contraint la partie plaignante à subir l'acte sexuel. Il a agi intentionnellement. La contrainte s'est exercée sous la forme de violence physique (serré le bras, secouée, penchée en avant, baissé le pantalon et la culotte) et verbale (se met à hurler), soit des moyens efficaces et propres à faire céder la victime, laquelle a fini par renoncer à résister, de manière compréhensible, sous l'effet de la peur, la situation paraissant sans espoir. L'absence de consentement de la victime ressort encore du fait qu'elle était réticente à suivre l'appelant derrière les camionnettes et qu'elle a pleuré tout au long, ce que l’appelant a admis, tout en affirmant, pour les besoins de la cause, que ces pleurs étaient feints. L'appelant ne saurait du reste soutenir qu'il aurait compris que l'intimée était consentante lorsqu'elle a sorti le préservatif, dans la mesure où il conteste qu’il en a été question, de même que la pénétration. En tout état de cause, les cris de la plaignante, entendus par le témoin Q______, totalement étrangère aux faits de la cause, ainsi que les interventions de F______ et J______ pour qu’il lâche la jeune femme, sont autant d'éléments ne lui permettant pas d'envisager un quelconque consentement. Pour ces motifs, la Cour retient, à l’instar des premiers juges, que l’appelant s'est rendu coupable de viol (art. 190 CP).</w:t>
      </w:r>
    </w:p>
    <w:p>
      <w:r>
        <w:rPr>
          <w:b/>
        </w:rPr>
        <w:t>E. 4.1</w:t>
      </w:r>
    </w:p>
    <w:p>
      <w:r>
        <w:t>Aux termes de l'art. 19 al. 1 let. c et d LStup, est puni d'une peine privative de liberté de trois ans au plus ou d'une peine pécuniaire celui qui, sans droit, aliène ou prescrit des stupéfiants, en procure de toute autre manière à un tiers ou en met dans le commerce, voire en acquiert ou s'en procure de toute autre manière. Par procurer, l'on entend toute activité d'intermédiaire consistant à mettre en relation l'un avec l'autre un aliénateur et un acquéreur potentiels de stupéfiants, soit à négocier, au moins en partie, pour l'un d'eux. Il en va ainsi de celui qui organise un rendez-vous entre les futurs cocontractants, qui fournit à l'un d'eux le nom, l'adresse ou le numéro de téléphone d'une personne intéressée, ou qui négocie la remise de stupéfiants par l'une des parties (B. CORBOZ, op. cit., vol. II, n. 35 ad art. 19 LStup).</w:t>
      </w:r>
    </w:p>
    <w:p>
      <w:r>
        <w:rPr>
          <w:b/>
        </w:rPr>
        <w:t>E. 4.2</w:t>
      </w:r>
    </w:p>
    <w:p>
      <w:r>
        <w:t>En l'espèce, la CPAR tient pour établi que F______ et I______ se sont rendus aux Pâquis pour acheter de la cocaïne. Selon leurs déclarations concordantes et crédibles, F______ et I______ n'ayant aucun intérêt à mentir dès lors que ces explications étaient aussi à charge pour eux, l'appelant est monté dans la voiture et les a dirigés vers AA______ pour en trouver. Sur place, grâce aux indications de l'appelant, F______ a acquis 3 à 4 g de cocaïne. Dans la mesure où les déclarations des témoins divergent sur la question de savoir si l'appelant s'est contenté d'indiquer à F______ le lieu et les personnes susceptibles de fournir la cocaïne ou s'il a participé à la transaction, on retiendra la version la plus favorable, soit celle qu'il s'est limité à conduire les intéressés sur place et à leur montrer les dealers. Ce comportement est punissable et tombe sous le coup de l'art. 19 al. 1 let. c LStup.</w:t>
      </w:r>
    </w:p>
    <w:p>
      <w:r>
        <w:rPr>
          <w:b/>
        </w:rPr>
        <w:t>E. 4.3</w:t>
      </w:r>
    </w:p>
    <w:p>
      <w:r>
        <w:t>Le verdict de culpabilité sera ainsi entièrement confirmé, étant relevé que l'infraction à la LEtr n'est pas contestée en appel.</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5.1.2. D'après l'art. 49 al. 1 CP, si, en raison d'un ou de plusieurs actes, l'auteur remplit les conditions de plusieurs peines de même genre, le juge le condamne à la peine de l'infraction la plus grave et l'augmente dans une juste proportion.</w:t>
      </w:r>
    </w:p>
    <w:p>
      <w:r>
        <w:rPr>
          <w:b/>
        </w:rPr>
        <w:t>E. 5.2</w:t>
      </w:r>
    </w:p>
    <w:p>
      <w:r>
        <w:t>La faute de l’appelant est lourde. Il s'en est pris à l'intégrité sexuelle de sa victime, passant outre la libre détermination de celle-ci. Ses mobiles relèvent de pulsions égoïstes, tendant à l'excitation et à la jouissance sexuelle. Il ne peut se prévaloir d'aucune circonstance atténuante et sa responsabilité est pleine et entière. Sa collaboration a été mauvaise. Il s'obstine à nier l'ensemble des charges portées contre lui, dont la consommation de stupéfiants, ce qui montre sa prise de conscience est nulle. Il y a concours d'infractions, circonstance aggravante. Il a par ailleurs des antécédents, mais en matière d'infractions à la législation sur les étrangers uniquement. Sa situation personnelle, bien que précaire, n'explique en rien la commission d'actes aussi graves. Les infractions à la LStup et à la LEtr entrent en concours avec le viol, lequel est à lui seul passible d’une peine privative de liberté pouvant aller jusqu’à 10 ans. La gravité de la faute du prévenu empêche le prononcé d'une peine compatible avec le sursis, même partiel. Compte tenu de ce qui précède, la peine privative de trois ans et six mois prononcée en première instance tient compte de l'ensemble de ces éléments et sera confirmée.</w:t>
      </w:r>
    </w:p>
    <w:p>
      <w:r>
        <w:rPr>
          <w:b/>
        </w:rPr>
        <w:t>E. 6</w:t>
      </w:r>
    </w:p>
    <w:p>
      <w:r>
        <w:t>Vu l'issue de la procédure d'appel, les prétentions en indemnisation formulées par l’appelant sont infondées et doivent être rejetées (art. 429 CPP). Quant au dédommagement de la victime, la CPAR se réfère intégralement au jugement entrepris (cf. art. 82 al. 4 CPP), étant relevé que l’appelant n’a pas remis en cause la quotité des montants alloués par les premiers juges. L'appelant, qui succombe, supportera en outre les frais de la procédure envers l'État (art. 428 CPP).</w:t>
      </w:r>
    </w:p>
    <w:p>
      <w:r>
        <w:rPr>
          <w:b/>
        </w:rPr>
        <w:t>E. 7</w:t>
      </w:r>
    </w:p>
    <w:p>
      <w:r>
        <w:t>Le maintien en détention pour motifs de sûreté de A______ a été décidé par ordonnance séparée du 21 janvier 2015.</w:t>
      </w:r>
    </w:p>
    <w:p>
      <w:r>
        <w:rPr>
          <w:b/>
        </w:rPr>
        <w:t>E. 8</w:t>
      </w:r>
    </w:p>
    <w:p>
      <w:r>
        <w:t>8.1.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 juillet 2014. Les mêmes considérations valent pour l’indemnisation du conseil juridique gratuit de la partie plaignante (art. 138 a. 1 CPP).</w:t>
      </w:r>
    </w:p>
    <w:p>
      <w:r>
        <w:rPr>
          <w:b/>
        </w:rPr>
        <w:t>E. 8.2</w:t>
      </w:r>
    </w:p>
    <w:p>
      <w:r>
        <w:t>L'indemnité est calculée selon le tarif horaire de CHF 200.- pour un chef d'Etude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8.3.1. En l'espèce, l'état de frais de Me B______ est composé de 24 heures d'activité de chef d'Etude soit 5h pour les visites à Champ-Dollon, 19h pour le poste procédure et 4h pour l'audience d'appel. L'activité exercée par le conseil de l'appelant est en adéquation avec la nature, l'importance et la difficulté de la cause. Seules 2h ont été retranchées du poste procédure, le temps passé à la préparation de l'audience d'appel étant ramené à 12h15, au lieu de 13h15, le dossier d'appel étant globalement le même que celui de première instance, et celui consacré à la prise de connaissance du jugement et à la rédaction de la déclaration d'appel a été ramené à 0h45 (sur 1h45), celle-ci n’ayant pas à être motivée hormis pour les réquisitions de preuves et étant, sous cette réserve, incluse dans le forfait courriers et téléphones. Par conséquent, l'état de frais du conseil de l'appelant sera admis à concurrence de 22 heures d'activité de chef d'Etude, ce qui correspond à une indemnité de CHF 4'400.-. Il convient d'ajouter à ce montant l'indemnisation forfaitaire de 10%, fixée en tenant compte de l’ensemble de l’activité déployée par le conseil durant l’instruction préliminaire et la procédure de première instance, qui dépasse 30 heures, soit CHF 440.-. 8.3.2. L'état de frais de Me D______, conseil juridique gratuit de la plaignante, est composé de 12 heures et 15 minutes d'activité de chef d'Etude soit 6h45 pour le poste procédure, dont 6 heures de préparation d'audience, 1h30 pour l'entretien avec la cliente et 4h pour l'audience d'appel. L'activité exercée par le conseil de la partie plaignante est en adéquation avec la nature, l'importance et la difficulté de la cause. Par conséquent, l'état de frais du conseil de l'intimée sera entièrement admis, ce qui correspond à une indemnité de CHF 2'450.-. Il convient d'ajouter à ce montant l'indemnisation forfaitaire de 10%, fixée en tenant compte de l’ensemble de l’activité déployée par le conseil durant l’instruction préliminaire et la procédure de première instance, qui dépasse 30 heures, soit CHF 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