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P/19106/2017 vom 20. November 2020</w:t>
      </w:r>
    </w:p>
    <w:p>
      <w:r>
        <w:t>GE Cour de justice, 2020-11-20, FR</w:t>
      </w:r>
    </w:p>
    <w:p>
      <w:r>
        <w:rPr>
          <w:b/>
        </w:rPr>
        <w:t xml:space="preserve">Quelle: </w:t>
      </w:r>
      <w:r>
        <w:t>https://mcp.opencaselaw.ch/entscheid/ge_gerichte_P_19106_2017</w:t>
      </w:r>
    </w:p>
    <w:p>
      <w:r>
        <w:t>FR: GE_GERICHTE P/19106/2017 du 20 novembre 2020</w:t>
      </w:r>
    </w:p>
    <w:p>
      <w:r>
        <w:t>IT: GE_GERICHTE P/19106/2017 del 20 novembre 2020</w:t>
      </w:r>
    </w:p>
    <w:p>
      <w:pPr>
        <w:pStyle w:val="Heading2"/>
      </w:pPr>
      <w:r>
        <w:t>Erwägungen</w:t>
      </w:r>
    </w:p>
    <w:p>
      <w:r>
        <w:rPr>
          <w:b/>
        </w:rPr>
        <w:t>E. 1.1</w:t>
      </w:r>
    </w:p>
    <w:p>
      <w:r>
        <w:t>Les appels sont recevables pour avoir été interjetés et motivés selon la forme et dans les délais prescrits (art. 398 et 399 du code de procédure pénale [CPP]). La Chambre limite son examen aux violations décrites dans l'acte d'appel, sauf en cas de décisions illégales ou inéquitables (art. 404 CPP).</w:t>
      </w:r>
    </w:p>
    <w:p>
      <w:r>
        <w:rPr>
          <w:b/>
        </w:rPr>
        <w:t>E. 2.1</w:t>
      </w:r>
    </w:p>
    <w:p>
      <w:r>
        <w:t>Le principe in dubio pro reo ,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il est établi qu'une collision en chaîne entre l'appelant, conducteur du motocycle, et deux véhicules qui circulaient sur la même voie derrière lui a eu lieu le 30 juin 2017 à 13h31, dans le tunnel Saconnex-d'Arve sur l'autoroute A1aP. Il ressort des images de vidéosurveillance du tunnel que l'appelant, alors que son motocycle ralentissait, a penché la tête à plusieurs reprises sur son guidon. Ce comportement laisse penser qu'il a rencontré un problème avec son véhicule. Les policiers dépêchés sur le lieu de l'accident ont constaté que le réservoir de carburant du motocycle de l'appelant était vide. Ce constat est conforté par les déclarations constantes du chauffeur de camion auquel l'appelant a indiqué avoir rencontré un problème d'essence lorsque celui-là est venu à son secours. Il n'y a aucune raison de penser que le chauffeur de camion aurait menti ou n'aurait pas compris dès lors que tous deux sont portugais et ont échangé dans cette langue, selon les dires concordants de l'intimé et du témoin. Cela paraît d'ailleurs d'autant plus plausible que l'appelant ne maîtrise apparemment qu'imparfaitement le français, ayant dû recourir aux services d'un interprète tout au long de la procédure. Les déclarations de l'appelant ont été fluctuantes, puisqu'il a tout d'abord affirmé à la police ne pas comprendre pourquoi le réservoir d'essence était vide, puis a concédé devant le TP avoir su que son réservoir d'essence n'était pas rempli et avoir actionné le robinet de son motocycle afin de le mettre sur la réserve. L'appelant a ainsi fini par admettre avoir effectué, avant l'accident, un trajet sur la réserve de 12 km, soit un trajet correspondant, à quelques kilomètres près, à celui que la quantité disponible de carburant dans sa réserve permettait de faire, selon ses dires, lesquels ne sont au demeurant étayés par aucune pièce. Il n'est pas anodin que, du propre aveu de l'appelant, son réservoir était sur la réserve alors même que la police a constaté qu'il était vide après l'accident et qu'un témoin rapporte l'avoir entendu dire qu'il avait eu un problème avec le carburant. On ne saurait guère admettre une coïncidence. Il faut partant plutôt retenir que ses calculs quant à la capacité de son véhicule d'effectuer le trajet envisagé étaient erronés. Il peut encore être observé que la réduction de la vitesse sur les images de vidéosurveillance est importante et subite, ce qui explique d'ailleurs que la dépanneuse, dont rien ne permet de penser qu'elle roulait au-dessus de la limite, l'ait si rapidement rattrapée. Cette décélération paraît ainsi peu compatible avec un freinage volontaire et maîtrisé pour passer de 100 à 80 km/h, encore moins en prévision d'un radar se trouvant à la sortie du tunnel, soit encore à une certaine distance. A cela s'ajoute le fait qu'aucun signal lumineux n'est visible, au niveau du phare arrière de la moto, indiquant que les freins auraient été actionnés. Certes, en l'absence d'autres éléments au dossier, on ne pourrait tirer de conclusion certaine du seul visionnage, la qualité de l'image étant faible, et la scène très rapide. Néanmoins, vu les éléments qui précèdent, l'hypothèse la plus plausible est que le signal n'est pas visible parce qu'il n'y a pas eu de freinage et non en raison de ces autres aléas. Il est donc retenu que l'appelant s'est soudainement trouvé en panne d'essence dans le tunnel autoroutier, ce qui a provoqué un important et soudain ralentissement de son véhicule.</w:t>
      </w:r>
    </w:p>
    <w:p>
      <w:r>
        <w:rPr>
          <w:b/>
        </w:rPr>
        <w:t>E. 3</w:t>
      </w:r>
    </w:p>
    <w:p>
      <w:r>
        <w:t>3.1.1. Selon l'art. 90 al. 1 LCR, celui qui viole les règles de la circulation prévues par la LCR ou par des dispositions d'exécution émanant du Conseil fédéral est puni de l'amende. Cette disposition étant abstraite et générale, elle doit être complétée par l'indication de la ou des règles concrètes de la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3.1.2. Au sens de l'art. 26 al. 1 LCR, chacun doit se comporter, dans la circulation, de manière à ne pas gêner ni mettre en danger ceux qui utilisent la route conformément aux règles établies. Le principe de la confiance, déduit de cette disposition,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 ; 118 IV 277 consid. 4a). 3.1.3. Selon l'art. 93 al. 2 let. a LCR, est puni de l'amende, quiconque conduit un véhicule dont il sait ou devrait savoir s'il avait prêté tout l'attention commandée par les circonstances qu'il ne répond pas aux prescriptions. L'art. 93 al. 2 let. a LCR est une infraction de mise en danger abstraite qui sanctionne la non-conformité au véhicule. Il n'est donc pas relevant de savoir si l'état défectueux du véhicule a accru le risque d'accident (arrêt du Tribunal fédéral 6B_1099/2009 du 16 février 2010, consid. 3.1 ; Y. JEANNERET, op. cit , ad art. 93). 3.1.4. L'art. 93 al. 2 LCR renvoie à l'art. 29 LCR qui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 Tribunal fédéral a retenu qu'une quantité suffisante de carburant dans un véhicule est d'une importance considérable pour la sécurité routière (arrêt précité du Tribunal consid. 3.2.). En effet, le manque de carburant limite le bon fonctionnement du véhicule et entraîne également dans bien des cas, son immobilisation rapide. De ce fait, le devoir de contrôler la quantité suffisante de carburant découle de l'obligation d'entretenir son véhicule. Cette obligation peut être rapidement respectée en vérifiant la jauge de carburant. La violation ou la conduite d'un véhicule avec un carburant insuffisant crée, au minimum un danger abstrait, qui doit être considérée comme une infraction à l'art. 93 al. 2 LCR. 3.1.5. Selon l'art. 100 al. 1 LCR, sauf disposition expresse et contraire de la loi, la négligence est aussi punissable. Dans la mesure où il a été retenu que la décélération soudaine et importante du véhicule est due au fait qu'il circulait avec une quantité insuffisante de carburant, alors qu'il se savait sur la réserve, l'appelant sera reconnu coupable d'infraction à l'art. 93 al. 1 let. a LCR.</w:t>
      </w:r>
    </w:p>
    <w:p>
      <w:r>
        <w:rPr>
          <w:b/>
        </w:rPr>
        <w:t>E. 4</w:t>
      </w:r>
    </w:p>
    <w:p>
      <w:r>
        <w:t>4.1.1. L'art. 125 al. 1 CP réprime, sur plainte,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Si la lésion est grave, la poursuite a lieu d'office (art. 125 al. 2 CP). 4.1.2. 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En second lieu, la violation du devoir de prudence doit être fautive, c'est-à-dire qu'il faut pouvoir reprocher à l'auteur, compte tenu de ses circonstances personnelles, une inattention ou un manque d'effort blâmable. L'attention et la diligence requises sont d'autant plus élevées que le degré de spécialisation de l'auteur est important (ATF 145 IV 154 consid. 2.1 ; 138 IV 124 consid. 4.4.5 ; 134 IV 255 consid. 4.2.3 ; 133 IV 158 consid. 5.1 ; 122 IV 133 consid. 2a ; arrêt du Tribunal fédéral 6B_466/2016 du 23 mars 2017 consid. 3.1). 4.1.3.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 Ce lien de causalité adéquate est interrompu, l'enchaînement des faits perdant sa portée juridique, si une autre cause concomitante, par exemple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amener celui-ci, notamment le comportement de l'auteur (ATF 143 III 242 consid. 3.7 ; 134 IV 255 consid. 4.2.3 et 4.4.2 et les références citées ; arrêts du Tribunal fédéral 6B_987/2018 du 27 décembre 2018 consid. 1.3.1 ; 6B_735/2018 du 15 novembre 2018 consid. 3.1.1). 4.1.4.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 135 IV 56 consid. 2.1 p. 64 ; 134 IV 255 consid. 4.2.3 p. 262). S'agissant d'un accident de la route, il convient de se référer aux règles de la circulation routière (ATF 122 IV 133 consid. 2a p. 135). 4.1.5. Selon l'art. 90 al. 1 LCR, celui qui viole les règles de la circulation prévues par la présente loi ou par les dispositions d'exécution émanant du Conseil fédéral est puni de l'amende. 4.1.6.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ATF 118 IV 277 consid. 4a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 ATF 120 IV 252 consid. 2d/aa ; ATF 143 IV 500 consid. 1.2.4). 4.1.7 . L'art. 34 al. 4 LCR prévoit que le conducteur doit observer une distance suffisante notamment lorsque des véhicules se suivent. Cette disposition est concrétisée à l'art. 12 al. 1 de l'ordonnance sur les règles de la circulation routière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comprendre par " distance suffisante " au sens de l'art. 34 al. 4 LCR doit être déterminé au regard de toutes les circonstances, telles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arrêt du Tribunal fédéral 6B_110/2017 du 12 octobre 2017 consid. 2.1). La règle des deux secondes revient à respecter un intervalle de deux fois la distance parcourue en une seconde. La règle du " demi compteur " consiste à respecter une distance correspondant à la moitié de la vitesse au compteur, par exemple, une distance de 30 m à 60 km/h, de 40 m lorsque l'on circule à 80 km/h, etc. (arrêt du Tribunal fédéral 6B_110/2017 du 12 octobre 2017 consid. 2.1, A. BUSSY / B. RUSCONI / Y. JEANNERET / A. KUHN / C. MIZEL / CH. MÜLLER, Code suisse de la circulation routière : commentaire , 4 e éd., 2015 Lausanne, art. 34 LCR n. 5.2). Il appartient au véhicule qui suit d'adapter sa vitesse et l'intervalle nécessaire par rapport au véhicule qui précède (arrêt du Tribunal fédéral 6B_451/2010 du 13 septembre 2010 consid. 3.4). Si l'espacement à l'origine suffisant, diminue par le ralentissement du véhicule précédent, le conducteur du véhicule qui suit doit veiller au rétablissement de la distance suffisante (ATF 81 IV 47 consid. 3) (A. BUSSY / B. RUSCONI / Y. JEANNERET / A. KUHN / C. MIZEL / CH. MÜLLER, op. cit ., art. 34 LCR n. 5.3). 4.1.8. L'art. 125 CP absorbe les infractions à la LCR de mise en danger, en particulier l'art. 90 LCR, en l'absence de mise en danger d'autres personnes que le blessé (M. DUPUIS / L. MOREILLON / C. PIGUET / S. BERGER / M. MAZOU / V. RODIGARI [éds.], Petit commentaire, Code pénal , 2 ème éd., 2017 Bâle, n. 14 ad art. 125).</w:t>
      </w:r>
    </w:p>
    <w:p>
      <w:r>
        <w:rPr>
          <w:b/>
        </w:rPr>
        <w:t>E. 4.2</w:t>
      </w:r>
    </w:p>
    <w:p>
      <w:r>
        <w:t>En l'espèce, les lésions corporelles de la partie plaignante, le 30 juin 2017, ne sont, à juste titre, pas contestées. La collision entre l'automobile et le motocycle a entraîné la chute de la partie plaignante et les lésions corporelles qu'elle a subies. Il convient de définir la distance séparant le véhicule de l'intimé et le motocycle de l'appelant afin d'évaluer si cette distance était suffisante, étant observé que, à l'aune de la règle du "demi-compteur", une distance minimale de 40 m aurait dû être maintenue entre les deux véhicules, ceux-ci roulant au minimum à 80 km/h. Or, si le calcul de l'intimé de la distance qui l'aurait séparé de la moto au moment où il a été percuté est sans pertinence, dès lors qu'à ce moment il avait déjà entamé la manoeuvre de freinage d'urgence, il reste que le dossier ne permet pas de déterminer si la dépanneuse se trouvait à au moins 40 m de la moto au moment où celle-ci s'est trouvée en difficulté, résultat du comportement dangereux de son conducteur qui a pris la route sans s'assurer d'être suffisamment approvisionné. Les éléments à disposition permettent en effet uniquement d'observer l'arrivée de la dépanneuse dans le champ de la caméra à compter de la seconde 5', soit après que le motocycle a commencé à décélérer fortement et que l'appelant se penche sur son guidon puis sur la gauche de la moto. En outre et comme l'a relevé le TP, il n'est pas établi non plus que la dépanneuse n'aurait pas réussi éviter la collision si le camion ne l'avait pas percutée, alors que la responsabilité d'éviter ce premier choc incombait au chauffeur du camion, l'intimé ne pouvant gérer la distance qui le séparait d'un véhicule le suivant. Enfin, rien ne permet de retenir que l'intimé aurait été inattentif parce qu'il aurait utilisé son téléphone en circulant. Ses dénégations sur ce point sont plus crédibles que le reproche, tardif, de l'appelant et de toute façon, dans le doute, ce fait doit être écarté. Au regard de ce qui précède, le jugement acquittant l'intimé du chef de lésions corporelles simples par négligence au sens de l'art. 125 al. 1 CP sera confirmé.</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 123 IV 49 consid. 2e). Les disparités en cette matière s'expliquent normalement par le principe de l'individualisation des peines,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135 IV 191 consid. 3.1 ; arrêts du Tribunal fédéral 6B_353/2016 du 30 mars 2017 consid. 3.2). 5.2.1.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op. cit. , Rem. prél. ad art. 34 à 41, n. 2 ss). Le nouveau droit des sanctions n'étant in concreto pas plus favorable à l'intimé, il n'en sera pas fait application (art. 2 al. 2 CP cum 104 CP). 5.2.2. 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paiement ultérieur de l'amende entraîne une réduction proportionnelle de la peine privative de liberté de substitution (al. 4).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Code pénal I : art. 1-100 CP , Bâle 2009, n. 19 ad art. 106).</w:t>
      </w:r>
    </w:p>
    <w:p>
      <w:r>
        <w:rPr>
          <w:b/>
        </w:rPr>
        <w:t>E. 5.3</w:t>
      </w:r>
    </w:p>
    <w:p>
      <w:r>
        <w:t>La faute de l'appelant n'est pas légère. Circuler sur l'autoroute au moyen d'un véhicule insuffisamment approvisionné d'essence cause un risque important pour le conducteur et les autres usagers ( cf. arrêt non publié 1C_160/2020 consid. 5.3 du 11 septembre 2020), risque qui s'est réalisé en l'occurrence sous la forme d'une collision en chaîne et de blessures pour le conducteur fautif. Celui-ci a agi à tout le moins par désinvolture, surestimant la capacité de son réservoir. Tout au plus faut-il mettre à son crédit qu'il a fini par admettre qu'il circulait sur la réserve. Pour le reste, sa collaboration doit être qualifiée de mauvaise, l'intéressé persistant à nier sa faute, quitte à taxer le chauffeur du camion auquel il s'était confié de menteur et à charger l'intimé, ne lui reprochant pas uniquement de ne pas avoir respecté la distance nécessaire, mais aussi d'avoir conduit tout en utilisant son téléphone. Il n'y a pas de prise de conscience. La situation personnelle de l'appelant est sans lien avec les faits. Il a un antécédent, ancien et non spécifique. Compte tenu de ces circonstances, l'amende de CHF 400.- prononcée par le premier juge ne paraît à tout le moins pas excessive, même au vu de sa situation personnelle obérée. L'interdiction de la reformatio in pejus interdit, cela dit, d'examiner cette question plus avant. La peine prononcée sera partant confirmée. Il en ira de même de la peine privative de liberté de substitution de quatre jours.</w:t>
      </w:r>
    </w:p>
    <w:p>
      <w:r>
        <w:rPr>
          <w:b/>
        </w:rPr>
        <w:t>E. 6</w:t>
      </w:r>
    </w:p>
    <w:p>
      <w:r>
        <w:t>Vu l'issue de la procédure, les conclusions civiles de l'appelant doivent être écartées.</w:t>
      </w:r>
    </w:p>
    <w:p>
      <w:r>
        <w:rPr>
          <w:b/>
        </w:rPr>
        <w:t>E. 7</w:t>
      </w:r>
    </w:p>
    <w:p>
      <w:r>
        <w:t>L'appelant succombe intégralement de sorte qu'il supportera les frais de la porcédure d'appel,comprenant un émolument de CHF 1'800.- (art. 14 al. 1 let. e du règlement fixant le tarif des frais en matière pénale du 22 décembre 2010 [RTFMP - E 410.03]) et il n'y a pas lieu de revenir sur répartition des frais de première instance, pour les deux procédures</w:t>
      </w:r>
    </w:p>
    <w:p>
      <w:r>
        <w:rPr>
          <w:b/>
        </w:rPr>
        <w:t>E. 8</w:t>
      </w:r>
    </w:p>
    <w:p>
      <w:r>
        <w:t>Les jugements du 13 mars 2020 et du 17 juillet 2020seront donc confirmés.Cependant, dans la mesure où une seule décision est rendue, ensuite de la jonction des procédures, tous deux seront annulés et remplacés par le présent arrêt.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