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P/19081/2021 vom 26. Oktober 2021</w:t>
      </w:r>
    </w:p>
    <w:p>
      <w:r>
        <w:t>GE Cour de justice, 2021-10-26, FR</w:t>
      </w:r>
    </w:p>
    <w:p>
      <w:r>
        <w:rPr>
          <w:b/>
        </w:rPr>
        <w:t xml:space="preserve">Quelle: </w:t>
      </w:r>
      <w:r>
        <w:t>https://mcp.opencaselaw.ch/entscheid/ge_gerichte_P_19081_2021</w:t>
      </w:r>
    </w:p>
    <w:p>
      <w:r>
        <w:t>FR: GE_GERICHTE P/19081/2021 du 26 octobre 2021</w:t>
      </w:r>
    </w:p>
    <w:p>
      <w:r>
        <w:t>IT: GE_GERICHTE P/19081/2021 del 26 ottobre 2021</w:t>
      </w:r>
    </w:p>
    <w:p>
      <w:pPr>
        <w:pStyle w:val="Heading2"/>
      </w:pPr>
      <w:r>
        <w:t>Regeste</w:t>
      </w:r>
    </w:p>
    <w:p>
      <w:r>
        <w:t>REPRÉSENTATION LÉGALE;CIRCONCISION;AUTORITÉ PARENTALE CONJOINTE | CPP.382.al1; CPP.106.al2; CPP.310; CP.123</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1.2.1. Selon l'art. 382 al. 1 CPP, toute partie qui a un intérêt juridiquement protégé à l'annulation ou à la modification d'une décision a qualité pour recourir contre celle-ci. Ont la qualité de partie le prévenu, la partie plaignante et le ministère public, lors des débats ou dans la procédure de recours (art. 104 al. 1 let. a, b et c CPP). On entend par partie plaignante le lésé qui déclare expressément vouloir participer à la procédure pénale comme demandeur au pénal ou au civil (art. 118 al. 1 CPP). Est lésé toute personne dont les droits ont été touchés directement par une infraction (art. 115 al. 1 CPP). Selon l'art. 106 al. 2 CPP, une personne qui n'a pas l'exercice des droits civils est représentée par son représentant légal, soit le détenteur de l’autorité parentale ou le tuteur (Y. JEANNERET / A. KUHN / C. PERRIER DEPEURSINGE (éds), Commentaire romand : Code de procédure pénale suisse, Bâle 2019 , n. 11 ad art. 106 ; L. MOREILLON / A. PAREIN-REYMOND, CPP, Code de procédure pénale, 2e éd. , Bâle 2016, n. 6 et 7 ad art. 106). 1.2.2. En l'espèce, le recourant a déposé plainte pour le motif qu'un acte médical avait été pratiqué sans son consentement sur son fils E______. L'art. 123 CP dont il invoque la violation protège l'intégrité corporelle. Le titulaire du bien juridique protégé par cette disposition est son fils mineur, qui apparaît ainsi comme le seul éventuel lésé et victime directe du comportement dénoncé par son père et imputé à sa mère. Le recourant, détenteur de l'autorité parentale conjointe, est donc habilité à agir au nom de son fils et à le représenter en tant que plaignant.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Cette disposition doit être appliquée conformément au principe "in dubio pro duriore" , tel qu'il découle du principe de la légalité (art. 5 al. 1 Cst. et 2 al. 1 CPP en relation avec les art. 309 al. 1, 319 al. 1 et 324 CPP; ATF 138 IV 86 consid. 4.2).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et les références citées).</w:t>
      </w:r>
    </w:p>
    <w:p>
      <w:r>
        <w:rPr>
          <w:b/>
        </w:rPr>
        <w:t>E. 3.2</w:t>
      </w:r>
    </w:p>
    <w:p>
      <w:r>
        <w:t>En l'espèce, les faits dénoncés ayant eu lieu au Maroc, se pose la question du for de la poursuite et, partant, d'un éventuel empêchement de procéder (art. 310 al. 1 let. b CPP). Le recours devant toutefois être rejeté pour les raisons qui suivent, cette problématique peut rester ouverte. 3.3.1. Se rend coupable de lésions corporelles simples (art. 123 CP) celui qui, intentionnellement, aura fait subir à une personne une atteinte à l'intégrité corporelle. La poursuite aura lieu d'office si l'auteur s'en est pris à une personne hors d'état de se défendre ou à une personne, notamment à un enfant, dont il avait la garde ou sur laquelle il avait le devoir de veiller (art. 123 ch. 2 al. 2 CP). 3.3.2.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p. 260 s.).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p. 260).</w:t>
      </w:r>
    </w:p>
    <w:p>
      <w:r>
        <w:rPr>
          <w:b/>
        </w:rPr>
        <w:t>E. 3.4</w:t>
      </w:r>
    </w:p>
    <w:p>
      <w:r>
        <w:t>En l'occurrence, il est établi que la circoncision d'E______ pratiquée dans une clinique marocaine a été effectuée avec l'aval de sa mère, qui est aussi détentrice de l'autorité parentale sur l'enfant. Que le recourant n'ait pas acquiescé à cette intervention et l'ait appris un an et demi plus tard ne rend pas l'acte illicite, tout comme le fait qu'elle n'aurait pas été entreprise à la suite d'une indication médicale selon lui – le certificat médical produit, dont rien n'indique qu'il ne serait pas conforme à la vérité, faisant pour sa part état chez l'enfant d'un phimosis, soit d'un "rétrécissement de l’extrémité du prépuce empêchant le décallotage" (https://www.hug.ch/chirurgie-pediatrique/phimosis). Faute d'infraction pénale, c'est à bon droit que le Ministère public a rendu l'ordonnance querellée. Les conclusions du recourant visant à obtenir le rapport médical relatif à la circoncision de son fils ainsi qu'à interdire le déplacement de ce dernier hors de Suisse sans son accord sont exorbitants au litige et relèvent, le cas échéant, de la compétence des juridictions civiles.</w:t>
      </w:r>
    </w:p>
    <w:p>
      <w:r>
        <w:rPr>
          <w:b/>
        </w:rPr>
        <w:t>E. 4</w:t>
      </w:r>
    </w:p>
    <w:p>
      <w:r>
        <w:t>Le recours est rejeté.</w:t>
      </w:r>
    </w:p>
    <w:p>
      <w:r>
        <w:rPr>
          <w:b/>
        </w:rPr>
        <w:t>E. 5</w:t>
      </w:r>
    </w:p>
    <w:p>
      <w:r>
        <w:t>Le recourant, qui succombe, supportera les frais envers l'État, qui seront fixés en totalité à CHF 900.-,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