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P/18977/2017 vom 12. März 2019</w:t>
      </w:r>
    </w:p>
    <w:p>
      <w:r>
        <w:t>GE Cour de justice, 2019-03-12, FR</w:t>
      </w:r>
    </w:p>
    <w:p>
      <w:r>
        <w:rPr>
          <w:b/>
        </w:rPr>
        <w:t xml:space="preserve">Quelle: </w:t>
      </w:r>
      <w:r>
        <w:t>https://mcp.opencaselaw.ch/entscheid/ge_gerichte_P_18977_2017</w:t>
      </w:r>
    </w:p>
    <w:p>
      <w:r>
        <w:t>FR: GE_GERICHTE P/18977/2017 du 12 mars 2019</w:t>
      </w:r>
    </w:p>
    <w:p>
      <w:r>
        <w:t>IT: GE_GERICHTE P/18977/2017 del 12 marzo 2019</w:t>
      </w:r>
    </w:p>
    <w:p>
      <w:pPr>
        <w:pStyle w:val="Heading2"/>
      </w:pPr>
      <w:r>
        <w:t>Regeste</w:t>
      </w:r>
    </w:p>
    <w:p>
      <w:r>
        <w:t>BRIGANDAGE | CP.66a; cp.139.al3; cpp.10</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Aux termes de l'art. 140 ch. 1 CP dans sa teneur en vigueur au moment des faits,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Celui qui, pris en flagrant délit de vol, aura commis un des actes de contrainte susmentionnés dans le but de garder la chose volée encourra la même peine.</w:t>
      </w:r>
    </w:p>
    <w:p>
      <w:r>
        <w:rPr>
          <w:b/>
        </w:rPr>
        <w:t>E. 2.2.1</w:t>
      </w:r>
    </w:p>
    <w:p>
      <w:r>
        <w:t>Le brigandage est une forme aggravée du vol qui se caractérise par les moyens que l'auteur a employés (ATF 133 IV 207 consid. 4.2 p. 210;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importe peu que la victime ait été mise dans l'incapacité de se défendre; il suffit que l'auteur ait recouru aux moyens indiqués et que le vol ait été consommé (ATF 133 IV 207 consid. 4.3.1 p. 211).</w:t>
      </w:r>
    </w:p>
    <w:p>
      <w:r>
        <w:rPr>
          <w:b/>
        </w:rPr>
        <w:t>E. 2.2.2</w:t>
      </w:r>
    </w:p>
    <w:p>
      <w:r>
        <w:t>L'art. 140 CP institue une gradation dans la gravité du brigandage, en fonction du danger créé. Le premier niveau est atteint lorsque l'auteur s'est muni d'une arme à feu ou d'une autre arme dangereuse (art. 140 ch. 2 CP). Cette disposition vise le cas de celui qui, pour commettre un brigandage, emporte avec lui une telle arme, sans pour autant s'en servir, par exemple à des fins d'intimidation (ATF 110 IV 77 ). Le brigandage est plus sévèrement réprimé si la façon d'agir de l'auteur dénote qu'il est particulièrement dangereux (art. 140 ch. 3 CP). La notion du caractère particulièrement dangereux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arrêts du Tribunal fédéral 6B_370/2018 du 2 août 2018 consid. 3.1 ; 6B_296/2017 du 28 septembre 2017 consid. 8.2).</w:t>
      </w:r>
    </w:p>
    <w:p>
      <w:r>
        <w:rPr>
          <w:b/>
        </w:rPr>
        <w:t>E. 2.2.3</w:t>
      </w:r>
    </w:p>
    <w:p>
      <w:r>
        <w:t>Parmi les circonstances qui peuvent dénoter que l'auteur est particulièrement dangereux, la jurisprudence cite une exécution froide, une préparation professionnelle et la brutalité dans l'action ou encore le fait de menacer la victime avec une arme. Le même niveau d'aggravation est atteint si l'auteur a agi en qualité d'affilié à une bande formée pour commettre des brigandages ou des vols.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Deux personnes peuvent former une bande, à condition qu'il existe entre elles une organisation et une collaboration d'une certaine intensité (arrêt du Tribunal fédéral 6B_890/2008 du 6 avril 2009 consid. 5.1 et la jurisprudence citée).</w:t>
      </w:r>
    </w:p>
    <w:p>
      <w:r>
        <w:rPr>
          <w:b/>
        </w:rPr>
        <w:t>E. 2.3</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 (art. 146 al. 2 CP).</w:t>
      </w:r>
    </w:p>
    <w:p>
      <w:r>
        <w:rPr>
          <w:b/>
        </w:rPr>
        <w:t>E. 2.3.1</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w:t>
      </w:r>
    </w:p>
    <w:p>
      <w:r>
        <w:rPr>
          <w:b/>
        </w:rPr>
        <w:t>E. 2.3.2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 2.4.1. Les appelants contestent une partie des faits tels qu'ils ont été retenus par les premiers juges. 2.4.1.1. Les victimes K______, Q______ et F______ expliquent de façon concordante avoir été braquées au moyen d'un objet qu'elles décrivent comme une arme. Aucune arme n'a été retrouvée lors de l'arrestation des appelants. La police n'a pas pu retrouver l'endroit où ils avaient dormi la nuit précédant leur arrestation, et il est donc possible, voire même probable, qu'une partie de leurs affaires ait échappé aux enquêteurs. Par ailleurs, s'ils se sont certes concentrés sur des victimes choisies dans la rue pour leur montre, les appelants ont varié dans leur mode opératoire, agissant à l'encontre d'hommes comme de femmes, de tous âges et en tous lieux (au sous-sol ou à l'entrée d'un immeuble, en pleine rue, devant ou dans un véhicule arrêté ou stationné...). Enfin, la crédibilité des dénégations des prévenus est faible dans la mesure où ils n'ont admis les faits reprochés qu'au compte-gouttes, au fur et à mesure que l'enquête mettait au jour des preuves irréfutables (images de vidéo-surveillance, téléphonie, traces ADN, découverte de photographies d'objets volés dans leurs téléphones portables, etc.). Pour tous ces motifs, la CPAR retient que les appelants ont bien fait usage d'un objet ayant l'apparence d'une arme pour menacer ces trois victimes. L'objet en cause n'ayant pas été retrouvé et l'accusation ne visant pas l'aggravante de l'arme ni celle de la mise en danger de la vie (prévues aux chiffres 2 et 4 de l'art. 140 CP), il faut retenir qu'il ne s'agissait pas d'une vraie arme. Le fait d'avoir recouru à une telle mesure d'intimidation, même si l'arme doit être tenue pour factice, joue néanmoins un rôle dans l'appréciation de la faute. 2.4.1.2. Les actes de violence physique à l'encontre du plaignant G______ sont également établis. Trois témoins décrivent des gestes, qu'ils ont assimilé à des coups de poings, en direction de la victime qui se trouvait dans sa voiture. Le plaignant lui-même décrit deux coups portés à son visage. La police a constaté des lésions lors de son intervention. Les dénégations des prévenus sont de circonstance et n'emportent à nouveau pas conviction, tant les multiples éléments du dossier confirment la réalité des coups portés à la victime pour lui faire cesser toute résistance. 2.4.2. Les appels sont fondés en ce qui concerne les faits commis au préjudice de R______. Aucun élément de contrainte ne ressort du déroulement de l'infraction, l'arrachage de la montre étant clairement intervenu très rapidement et sans violence, essentiellement par ruse et par surprise. La victime n'a jamais allégué avoir été violentée et n'a d'ailleurs pas été auditionnée de façon contradictoire au vu de son domicile à l'étranger. Les coups portés par la victime à l'un des auteurs du vol pour tenter de le retenir ne constituent pas des actes de contrainte au sens de l'art. 140 ch. 1 al. 2 CP, puisqu'il n'y a pas été répondu. Les faits doivent donc, conformément aux conclusions des appelants, être qualifiés de vol en bande au sens de l'art. 139 ch. 3 CP, faute d'acte de contrainte. 2.4.3. Les déclarations de I______ sont constantes et crédibles lorsqu'elle décrit la manière dont elle a été abordée, puis violentée lorsqu'elle a tenté d'opposer de la résistance à son agresseur. Les deux témoins, arrivés rapidement, décrivent tous deux une scène de violence (victime jetée à terre, affaires éparpillées). Les appels au secours confirment que les faits ont duré au-delà de quelques instants. Le fait que la victime ait immédiatement répondu qu'elle allait bien , réponse réflexe courante pour confirmer qu'elle n'était pas sérieusement blessée, ne diminue en rien la crédibilité de ses déclarations. L'un des témoins a d'ailleurs confirmé être resté aux côtés de la victime, ce qui démontre que celle-ci n'était pas dans un état normal et nécessitait un soutien. L'absence de certificats médicaux postérieurs aux constats des médecins légistes n'entache pas la validité de leurs constatations, qui attestent d'une violence certaine (douleurs ayant nécessité l'administration de médicaments par perfusion, présence de plusieurs hématomes) qui ne s'explique pas autrement que par les déclarations de la victime. Si le déplacement de vertèbre constaté n'a pas pu être daté précisément par les médecins, la victime n'avait pas eu à s'en plaindre avant les faits : il doit donc être mis en lien avec les événements. On ne discerne pas de vindicte injustifiée de la part de cette victime, qui n'a ni mandaté de conseil pour la représenter ou l'assister en procédure (alors qu'elle disposait manifestement de ressources lui permettant de le faire aisément), ni pris de conclusions civiles et s'est faite excuser aux audiences de première instance et d'appel. Enfin, les prévenus sont parvenus à la déposséder de sa montre, qu'ils n'ont pas pu conserver ; le brigandage était déjà consommé à ce moment-là. S'y ajoute le vol de porte-monnaie, que rien ne permet de mettre en doute. Même si les prévenus ne sont pas coutumiers de ce type de vol, il est établi qu'ils ont à d'autres occasions également volé d'autres objets, notamment des bijoux, lorsque la victime n'était pas susceptible de leur opposer la moindre résistance. Le fait qu'ils n'aient pas volé l'argent de victimes hommes dans la force de l'âge ne signifie pas qu'ils n'aient pas saisi l'occasion de dépouiller une femme âgée gisant à terre. Ils ont d'ailleurs aussi recouru à des escroqueries, ce qui confirme qu'ils étaient disposés et prêts à se procurer de l'argent par tout moyen se présentant à eux. Les appels doivent être rejetés sur ce point. 2.4.4. Les appelants contestent avoir commis des escroqueries par métier. Ils ont eux-mêmes expliqué avoir recouru à des escroqueries de type « rip-deal » pour se procurer un revenu, leurs activités légales ne suffisant pas à subvenir à leurs besoins. Initialement d'ailleurs, ils ont essayé de faire croire aux enquêteurs qu'il s'agissait de leur activité principale, pour tenter de se soustraire aux accusations portant sur des brigandages qu'ils niaient et au sujet desquels l'enquête débutait. Ces déclarations et explications confirment qu'ils pratiquaient cette activité à la manière d'une profession, qui a certes laissé place, en été 2017, à une activité de vol et de brigandages en bande plus lucrative. Il n'en demeure pas moins que l'ensemble des infractions s'inscrivent dans un mécanisme bien huilé et dans une pratique devenue quasiment routinière, que les appelants eux-mêmes admettent d'ailleurs avoir également exercée à l'étranger. L'aggravante du métier est réalisée et les appels doivent être rejetés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Bien que la récidive ne constitue plus un motif d'aggravation obligatoire de la peine (art. 67 a 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(arrêt du Tribunal fédéral 6B_483/2016 du 30 avril 2018 consid. 2.2 destiné à la publication; ATF 142 IV 265 IV 2.3.2, traduit au JdT 2017 IV 129 ; ATF 138 IV 120 consid. 5.2 p. 122, traduit au JdT 2013 IV 43).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arrêts du Tribunal fédéral 6B_688/2014 du 22 décembre 2017 consid. 27.2.1; 6B_1175/2017 du 11 avril 2018 consid. 2.1). Pour déterminer la date d'une infraction d'escroquerie par métier, il faut se référer à celle du dernier acte d'escroquerie (arrêt du Tribunal fédéral 6B_516/2019 du 21 août 2019 destiné à la publication, consid. 2.3.3). 3.3.1. Les infractions commises par les appelants l'ont été avant l'entrée en vigueur de la réforme du droit des sanctions, le 1 er janvier 2018, qui marque, globalement, un durcissement de ce droit. Conformément à l'art. 2 CP, l'ancien droit est applicable. 3.3.2. En l'espèce, à raison, les appelants ne contestent ni l'un, ni l'autre que seule une peine privative de liberté soit apte à sanctionner l'ensemble des faits qui leur sont reprochés ; en effet, le prononcé d'une peine pécuniaire n'entre pas en ligne de compte au vu de la gravité des infractions commises, dont certaines entraînent une peine incompatible avec une peine pécuniaire, et de leur situation personnelle qui rendrait en tout état de cause impossible le paiement et le recouvrement d'une sanction pécuniaire. Les prévenus ont commis de concert un vol en bande, cinq brigandages en bande, deux tentatives de brigandages en bande, des escroqueries par métier (dont l'une a été commise par un seul des appelants, en 2014) et des faux dans les certificats étrangers. Ils ont agi ensemble et de façon professionnelle, en se répartissant les rôles selon une stratégie bien définie et exercée. Ils se sont déplacés très rapidement entre divers endroits de Suisse (Genève en mai 2017 ; Zurich puis Vaud et Genève les 5-6 juillet 2017 ; Zurich puis Genève les 18-19 juillet 2017 ; Genève puis Zurich les 13-14 septembre 2017), disposant d'une infrastructure dédiée (deux scooters, de fausses plaques et du matériel pour dissimuler leurs immatriculations, un fourgon pour les transporter, de faux documents d'identité, etc.), organisant de véritables raids en ville pour trouver des montres de valeur. Ils ont en général revendu leur butin très rapidement, le proposant parfois par messages à des comparses receleurs dans les minutes suivant le vol. Ils ont acquis des connaissances leur permettant de repérer les personnes portant des montres de valeur considérable et de les leur soustraire rapidement et efficacement. Ils ont souvent suivi leurs victimes sur de longues distances, attendant le moment où leur proie serait à leur portée. Ils n'ont pas hésité à violenter les victimes qui faisaient mine de leur résister, ou à les menacer au point de leur faire craindre pour leur vie. Ils ont agi sans aucun scrupule, avec méthode, persévérance et détermination. Nonobstant ce qui a pu être plaidé, ils n'ont pas collaboré avec la police, n'avouant que ce qu'ils ne pouvaient plus contester au vu des preuves recueillies par l'enquête et minimisant systématiquement leurs actes. L'ensemble de ces éléments doit conduire, pour les deux appelants qu'ils concernent également, au prononcé d'une peine sévère. A cela s'ajoute que les appelants ont agi de concert de la sorte non seulement en Suisse, mais également en Autriche, pays où ils ont été condamnés en 2016 pour des faits semblables aux escroqueries faisant l'objet de la présente procédure, ce qui ne les a pas découragés de revenir en Suisse peu après leur libération pour commettre des actes plus graves encore. A l'exception d'une escroquerie qui n'est imputée qu'à D______, les faits reprochés aux deux prévenus sont les mêmes. Cette unique infraction n'est pas de nature à modifier sensiblement la peine, dans la mesure où l'aggravante du métier a été retenue pour les deux prévenus. Par ailleurs, même s'ils ont un âge sensiblement différent, les deux prévenus présentent un profil semblable et ont réparti les rôles entre eux d'une manière qui ne fait pas apparaître que l'un aurait exercé un ascendant sur l'autre, mais reflète au contraire une décision et une exécution communes. Leurs fautes sont globalement d'égale gravité. Leurs antécédents sont sensiblement les mêmes, et leurs mobiles, qui consistent essentiellement dans l'appât d'un gain égoïste et facile sans aucun égard pour l'intégrité physique et psychique d'autrui, sont également partagés par tous deux. Dans ces circonstances, il convient de déterminer une peine pour les infractions reprochées, indépendamment de l'auteur, et de la moduler ensuite au besoin pour tenir compte des circonstances strictement personnelles de l'un et l'autre appelant. 3.3.3. L'infraction objectivement la plus grave commise par les prévenus est indubitablement la série de brigandages en bande, qui ont été commis entre le 5 juillet et le 14 septembre 2017. Cette courte période pénale présente une activité criminelle particulièrement intense et démontre ainsi une constance et une détermination peu communes dans l'intention délictuelle. Ces cinq brigandages sont individuellement passibles d'une peine privative de liberté de deux à vingt ans. Compte tenu des circonstances concrètes de chaque agression, du professionnalisme et de la dangerosité intrinsèque des actes commis, du butin important et du traumatisme subi par les victimes, ainsi que du principe d'aggravation, lié aux cinq occurrences de l'infraction, la peine de base pour cinq brigandages doit être fixée à quatre ans. Cette peine doit être aggravée pour tenir compte des deux tentatives de brigandage en bande commises en mai et septembre 2017, ce qui la porte à cinq ans, ainsi que du vol en bande du 18 juillet 2017, qui entraîne une aggravation de l'ordre de six mois, des escroqueries par métier (deux mois) et des faux dans les certificats étrangers (deux mois). Il ressort de ce qui précède que la peine prononcée par les premiers juges ne paraît pas excessive, se situant en-deçà de la peine théoriquement encourue par les appelants pour l'ensemble des infractions commises. En l'absence d'appel joint du MP, la peine prononcée par les premiers juges ne peut être aggravée, la sévérité de la sanction ne découlant pas de faits nouveaux (art. 391 al. 2 CPP). Il en découle que, indépendamment de la prise en compte d'éventuels facteurs individuels - dont aucun n'apparaît de nature à atténuer de façon importante la peine encourue - la peine privative de liberté de cinq ans prononcée par les premiers juges doit être confirmée. Les appels doivent être également rejetés sur ce point.</w:t>
      </w:r>
    </w:p>
    <w:p>
      <w:r>
        <w:rPr>
          <w:b/>
        </w:rPr>
        <w:t>E. 4.1</w:t>
      </w:r>
    </w:p>
    <w:p>
      <w:r>
        <w:t>Conformément à l'art. 66a al. 1 CP, le juge expulse un étranger du territoire suisse pour une durée de cinq à quinze ans s'il est reconnu coupable de l'une des infractions énumérées aux let. a à o. Le juge doit fixer la durée de l'expulsion dans la fourchette prévue de cinq à quinze ans, en tenant compte du principe de la proportionnalité (arrêt du Tribunal fédéral 6B_1043/2017 du 14 août 2018, consid. 3.1.3).</w:t>
      </w:r>
    </w:p>
    <w:p>
      <w:r>
        <w:rPr>
          <w:b/>
        </w:rPr>
        <w:t>E. 4.2</w:t>
      </w:r>
    </w:p>
    <w:p>
      <w:r>
        <w:t>En l'espèce, les faits reprochés aux appelants sont particulièrement graves. Ils n'ont aucun lien avec la Suisse, si ce n'est d'y avoir trouvé un terrain qu'ils pensaient propice pour leurs activités criminelles. La durée de l'expulsion obligatoire retenue par les premiers juges apparaît adéquate et proportionnée, étant relevé que le Tribunal fédéral n'a rien trouvé à redire lorsqu'une durée semblable a été retenue pour un condamné au bénéfice d'une autorisation d'établissement et condamné à une peine privative de liberté de sept ans (cf. arrêt du Tribunal 6B_1192/2018 du 23 janvier 2019, consid. 2.2.3). Une durée identique pour un prévenu sans lien aucun avec la Suisse et condamné à une peine privative de liberté de cinq ans pour des brigandages aggravés est assurément proportionnée. L'appel de D______ sur ce point est rejeté.</w:t>
      </w:r>
    </w:p>
    <w:p>
      <w:r>
        <w:rPr>
          <w:b/>
        </w:rPr>
        <w:t>E. 5</w:t>
      </w:r>
    </w:p>
    <w:p>
      <w:r>
        <w:t>5.1.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Aux termes de l'art. 47 CO, le juge peut, en tenant compte de circonstances particulières, allouer à la victime de lésions corporelles ou, en cas de mort d'homme, à la famille une indemnité équitable à titre de réparation morale. L'ampleur de la réparation dépend essentiellement de la gravité de la souffrance résultant de l'atteinte, qui entraînera, selon les circonstances, des répercussions psychiques plus ou moins sérieuses, et de la possibilité d'adoucir sensiblement cette souffrance par un versement d'argent compensatoire (ATF 115 II 158 consid. 2).</w:t>
      </w:r>
    </w:p>
    <w:p>
      <w:r>
        <w:rPr>
          <w:b/>
        </w:rPr>
        <w:t>E. 5.2</w:t>
      </w:r>
    </w:p>
    <w:p>
      <w:r>
        <w:t>En l'espèce, l'appelant A______ conteste le montant du tort moral alloué à F______ en niant la gravité de l'atteinte psychique, du fait de l'absence d'utilisation d'une arme. Dans la mesure où, comme les premiers juges, la CPAR a retenu qu'une arme factice avait bel et bien été pointée en direction de la victime, qui s'est légitimement crue en danger de mort, cet argument doit être écarté. Le montant de CHF 1'000.- alloué - relativement modeste - apparaît adéquat et proportionné. Il peut pour le surplus être renvoyé à la motivation des premiers juges sur ce point.</w:t>
      </w:r>
    </w:p>
    <w:p>
      <w:r>
        <w:rPr>
          <w:b/>
        </w:rPr>
        <w:t>E. 6</w:t>
      </w:r>
    </w:p>
    <w:p>
      <w:r>
        <w:t>Les appelants, qui succombent sur l'essentiel, supporteront les neuf dixièmes des frais de la procédure envers l'Etat (art. 428 CPP), à raison de la moitié chacun, soit neuf vingtièmes chacun. La modification apportée ne concernant que la qualification juridique et non l'établissement des faits, il n'y a pas lieu de revoir la répartition des frais de première instance, lesquels n'auraient pas été moindres même si les premiers juges avaient déjà qualifié les faits comme le fait la CPAR.</w:t>
      </w:r>
    </w:p>
    <w:p>
      <w:r>
        <w:rPr>
          <w:b/>
        </w:rPr>
        <w:t>E. 7</w:t>
      </w:r>
    </w:p>
    <w:p>
      <w:r>
        <w:t>7.1.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les deux avocats constitués ont facturé plus de 20 heures de temps de préparation de l'audience d'appel, ce qui est manifestement exagéré pour un dossier connu pour avoir été déjà suivi en cours d'instruction et plaidé en première instance, la désignation des conseils étant intervenue dès le début de la procédure. Le temps de préparation sera réduit à huit heures, soit une journée de travail. Par ailleurs, la rédaction de la déclaration d'appel et la lecture du jugement de première instance font partie des activités incluses dans l'indemnisation forfaitaire, qui ne donnent donc pas lieu à facturation, ce d'autant plus que l'indemnité de première instance inclut l'audience de jugement au cours de laquelle il est procédé à une brève motivation orale. En conclusion, l'indemnité due à M e E______ sera arrêtée à CHF 3'984.40 correspondant à 5h30 d'activité au tarif de CHF 200.-/heure et 16 heures d'activité au tarif de CHF 110.-/heure, plus la majoration forfaitaire de 10%, un forfait de déplacement et l'équivalent de la TVA au taux de 7.7% en CHF 246.47 ainsi que les frais d'interprète. L'indemnité due à M e C______ sera arrêtée à CHF 2'626.95 correspondant à 17 heures d'activité au tarif de CHF 110.-/heure plus la majoration forfaitaire de 10%, un forfait de déplacement et l'équivalent de la TVA au taux de 7.7% en CHF 162.62 ainsi que les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