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P/18945/2023 vom 23. Juli 2024</w:t>
      </w:r>
    </w:p>
    <w:p>
      <w:r>
        <w:t>GE Cour de justice, 2024-07-23, FR</w:t>
      </w:r>
    </w:p>
    <w:p>
      <w:r>
        <w:rPr>
          <w:b/>
        </w:rPr>
        <w:t xml:space="preserve">Quelle: </w:t>
      </w:r>
      <w:r>
        <w:t>https://mcp.opencaselaw.ch/entscheid/ge_gerichte_P_18945_2023</w:t>
      </w:r>
    </w:p>
    <w:p>
      <w:r>
        <w:t>FR: GE_GERICHTE P/18945/2023 du 23 juillet 2024</w:t>
      </w:r>
    </w:p>
    <w:p>
      <w:r>
        <w:t>IT: GE_GERICHTE P/18945/2023 del 23 luglio 2024</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139 ch. 1 CP réprime le comportement de celui qui, pour se procurer ou procurer à un tiers un enrichissement illégitime, aura soustrait une chose mobilière appartenant à autrui dans le but de se l'approprier. L'infraction de vol est constituée de cinq éléments constitutifs, dont deux objectifs et trois subjectifs, soit une chose mobilière appartenant à autrui, un acte de soustraction, l'intention, un dessein d'appropriation et d'enrichissement illégitime. L'intention doit porter sur tous les éléments constitutifs de l'infraction, le dol éventuel étant suffisant (A. MACALUSO / L. MOREILLON / N. QUELOZ (éds), Code pénal II, vol. II, Partie spéciale : art. 111-392 CP, Bâle 2017, N 4 et 45 ad art. 139). La soustraction implique la violation de la possession d'autrui et la création d'une nouvelle possession en faveur de l'auteur (ATF 110 IV 80 consid. 2b). Elle supprime le pouvoir de disposition de l'ayant droit et constitue une violation de sa sphère d'influence qui se traduit par le transfert de la chose sortant du domaine de possession du titulaire. L'auteur doit agir contre la volonté de l'ayant droit (J. HURTADO POZO, Droit pénal : partie spéciale, 2009, § 30 n. 900 et 901). Dans l'hypothèse d'un magasin à libre-service, la soustraction est réalisée lorsque l'auteur s'empare d'un objet et le dissimule sur lui, notamment dans un sac, lorsqu'il neutralise le système antivol apposé sur la marchandise ou encore passe les portiques de sécurité censés faire retentir une alarme (M. DUPUIS / L. MOREILLON / C. PIGUET / S. BERGER / M. MAZOU / V. RODIGARI (éds), Code pénal - Petit commentaire, 2 e éd., Bâle 2017, N 12 ad art. 139 CP). La maîtrise de fait est aussi brisée lorsqu’un client, après avoir disposé des marchandises dans des sacs à provisions qu’il a personnellement apportés et placés dans un caddy, passe à côté de la rangée des caisses sans payer alors même que les articles pourraient encore être payés auprès d’une caisse située à l’extérieur du magasin (arrêt du Tribunal fédéral, 6B_100/2012 du 5 juin 2012, consid. 3, in forumpoenale 2012 271 ; ATF 110 IV 12 , c. 2, in JdT 1985 IV 7). Dans tous les cas, la situation personnelle du client, notamment sa solvabilité et sa réputation, peut être pris en considération pour apprécier l’intention ou non de voler de l’auteur (A. MACALUSO / L. MOREILLON / N. QUELOZ (éds), Commentaire romand, Code pénal II, vol. II, Partie spéciale : art. 111-392 CP, Bâle 2017, N 35 ad art. 139 CP). 2.2.3. Si l'acte ne vise qu'un élément patrimonial de faible valeur ou un dommage de moindre importance, l'auteur sera, sur plainte, puni d'une amende (art. 172ter al. 1 CP). S'agissant d'objets ayant une valeur marchande ou ayant une valeur objectivement déterminable, celle-ci est seule pertinente pour déterminer si l'acte ne visait qu'un élément patrimonial de faible valeur au sens de l'art. 172ter al. 1 CP (ATF 123 IV 113 consid. 3d ; 121 IV 261 consid. 2c). La limite jusqu'à laquelle cette disposition est applicable a été fixée à CHF 300.- (ATF 142 IV 129 consid. 3.1; 123 IV 113 consid. 3d). Le cas n'étant pas expressément prévu par la loi, la tentative de vol d'importance mineure ou la complicité ne sont pas punissables (art. 104 et 105 al. 2 CP ; ATF 142 IV 129 consid. 3.1).</w:t>
      </w:r>
    </w:p>
    <w:p>
      <w:r>
        <w:rPr>
          <w:b/>
        </w:rPr>
        <w:t>E. 2.3</w:t>
      </w:r>
    </w:p>
    <w:p>
      <w:r>
        <w:t>Selon l'art. 186 CP, est punissable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notion de domicile doit être comprise de manière large et vise non seulement les habitations au sens commun, mais également les fabriques, les centres commerciaux et les bâtiments administratifs (ATF 108 IV 33 consid. 5a). Lorsqu'un lieu est ouvert au public dans un but précis et que ce but est clairement reconnaissable pour chacun, celui qui y pénètre en visant d'autres objectifs agit à l'encontre de la volonté de l'ayant droit (arrêt du Tribunal fédéral 6B_1056/2013 du 20 août 2014, consid. 2). La violation de domicile n’est punissable que si elle est commise intentionnellement. L’intention comprend la conscience du fait que l’auteur pénètre les lieux ou y demeure contre la volonté de l’ayant droit. Le dol éventuel suffit (ATF 90 IV 74 consid. 3 ; 108 IV 33 consid.5c).</w:t>
      </w:r>
    </w:p>
    <w:p>
      <w:r>
        <w:rPr>
          <w:b/>
        </w:rPr>
        <w:t>E. 2.4</w:t>
      </w:r>
    </w:p>
    <w:p>
      <w:r>
        <w:t>Selon l'art. 291 CP, celui qui aura contrevenu à une décision d'expulsion du territoire de la Confédération ou d'un canton prononcée par une autorité compétente sera puni d'une peine privative de liberté de trois ans au plus ou d'une peine pécuniaire (al. 1). La durée de cette peine ne sera pas imputée sur celle de l'expulsion (al. 2).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 147 IV 232 consid. 1.1).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w:t>
      </w:r>
    </w:p>
    <w:p>
      <w:r>
        <w:rPr>
          <w:b/>
        </w:rPr>
        <w:t>E. 2.5</w:t>
      </w:r>
    </w:p>
    <w:p>
      <w:r>
        <w:t>Selon l'art. 19 al. 1 CP, l'auteur n'est pas punissable si, au moment d'agir, il ne possédait pas la faculté d'apprécier le caractère illicite de son acte ou de se déterminer d'après cette appréciation. Si l'auteur pouvait éviter l'irresponsabilité ou la responsabilité restreinte et prévoir l'acte commis en cet état, cette règle n'est pas applicable (al. 4).</w:t>
      </w:r>
    </w:p>
    <w:p>
      <w:r>
        <w:rPr>
          <w:b/>
        </w:rPr>
        <w:t>E. 2.6</w:t>
      </w:r>
    </w:p>
    <w:p>
      <w:r>
        <w:t>Aux termes de l'art. 21 CP, quiconque ne sait ni ne peut savoir au moment d'agir que son comportement est illicite n'agit pas de manière coupable. Le juge atténue la peine si l'erreur était évitable. Des faits commis au préjudice de C______ AG</w:t>
      </w:r>
    </w:p>
    <w:p>
      <w:r>
        <w:rPr>
          <w:b/>
        </w:rPr>
        <w:t>E. 2.6.1</w:t>
      </w:r>
    </w:p>
    <w:p>
      <w:r>
        <w:t>À teneur des images de vidéosurveillance, l'appelant était bien portant lorsqu'il se trouvait au sein du magasin C______ AG, de sorte qu'il n'était pas encore dans l'état " amorphe " constaté par la police quelque deux heures après les faits. L'éthylotest a révélé qu'il n'était pas alcoolisé, contrairement à ce qu'il n'a eu de cesse de plaider, et son état de santé n'a nécessité aucune prise en charge médicale des ambulanciers dépêchés pour l'ausculter. Quand bien même il est attesté qu'il souffre d'une poly-addiction, il n'est pas établi, à teneur du dossier, que l'appelant ait été sous emprise de substances au moment des faits, a fortiori pas au point d'être irresponsable. Sans le soulever formellement à titre préjudiciel, l'appelant argue derechef que ses déclarations devant la police doivent être écartées en raison du fait que, notamment, s'agissant d'un cas de défense obligatoire, il aurait dû être assisté d'un avocat à ce stade déjà. Toutefois, et bien que cela soit contesté en doctrine, le Tribunal fédéral a confirmé à plusieurs reprises que la défense obligatoire ne s'appliquait pas au stade des auditions par la police (cf. arrêts du Tribunal fédéral 6B_338/2020 du 3 février 2021 consid. 2.3.4, 6B_998/2019 du 20 novembre 2020 consid. 2.2 et 6B_990/2017 du 18 avril 2018 consid. 2.3.3), de sorte que le procès-verbal ne souffre d'aucun vice procédural et est pleinement exploitable. En ce qui concerne la question de la capacité de l'appelant à prendre part à l'audition en raison de la prise de substances, il faut rejoindre les constatations du premier juge, dès lors qu'il a été capable de répondre aux questions choisies de manière cohérente, claire et précise, d'une part, et qu'il n'a jamais évoqué une quelconque indisposition, ni sollicité la moindre suspension, étant précisé que les policiers, entrainés à reconnaitre ce type de cas de figure, ont estimé que son état permettait la poursuite de l'audition.</w:t>
      </w:r>
    </w:p>
    <w:p>
      <w:r>
        <w:rPr>
          <w:b/>
        </w:rPr>
        <w:t>E. 2.6.2</w:t>
      </w:r>
    </w:p>
    <w:p>
      <w:r>
        <w:t>Au regard des faits qualifiés de vol, l'appelant ne peut être suivi lorsqu'il allègue que l'infraction ne serait pas consommée du fait qu'il n'a pas quitté les lieux. En effet, il ressort des images de vidéosurveillance qu'il avait déjà passé les portiques de sécurité de la porte de sortie, conformément aux principes sus rappelés. Le fait que de tels portiques sont également placés entre différents étages de l'établissement n'y change rien. De plus, l'appelant se trouvait à un endroit où il ne lui était plus possible de régler la marchandise en sa possession, étant précisé que l'établissement ne dispose d'aucune caisse extérieure. L'intention est également réalisée. Tout d'abord son comportement le trahit en ce qu'il a fait mine de se diriger vers les caisses qui se trouvaient à l'intérieur avant de faire calmement demi-tour pour quitter les lieux sans bourse délier. De plus, s'il a réfuté son aveu à la police, il n'en demeure pas moins qu'il a ultérieurement reconnu ne pas disposer des moyens financiers pour s'acquitter de la marchandise et savoir que " cela ne marcherait pas ". Il appert donc qu'il était conscient de ses actes, quoi qu'il allègue. En outre, sa réputation, soit le fait qu'il soit interpellé pour de tels faits pour la troisième fois, est un indice supplémentaire attestant de sa volonté délictuelle. Au vu de ce qui précède, le verdict de culpabilité pour le chef de vol d'importance mineure sera confirmé et l'appel rejeté sur ce point.</w:t>
      </w:r>
    </w:p>
    <w:p>
      <w:r>
        <w:rPr>
          <w:b/>
        </w:rPr>
        <w:t>E. 2.6.3</w:t>
      </w:r>
    </w:p>
    <w:p>
      <w:r>
        <w:t>En ce qui concerne l'infraction de violation de domicile, c'est en vain que l'appelant argue que le formulaire d'interdiction d'entrée émis par C______ serait imprécis et partant insuffisant pour retenir que le commerce avait valablement manifesté sa volonté de le bannir de ses locaux genevois. En effet, cette interdiction lui a été notifiée à la suite d'un autre vol à l'étalage commis dans le même centre commercial, cinq mois plus tôt, de sorte qu'il ne pouvait ignorer que sa présence n'y était plus tolérée. En outre, il devait comprendre que cette mesure valait pour chacune des propriétés de C______. Un libellé aussi large n'est au demeurant pas contraire aux exigences légales, étant souligné que les locaux sont des lieux bien déterminés grâce à leur enseigne reconnaissable. L'appelant ne peut davantage être suivi lorsqu'il dit ignorer avoir fait l'objet d'une telle interdiction, pas plus que lorsqu'il se prévaut de son TDHA et de l'altération de son état du fait de la prise de substances. En effet, outre le fait que ses précédentes déclarations ont passablement varié, invoquant diverses causes pour justifier l'absence d'intention, lesquelles apparaissent être de pure circonstance et n'emportent aucune conviction, il appert que l'appelant est entré dans ledit commerce pour y commettre un vol, de sorte qu'il y a pénétré dans un but autre que celui usuel et accepté par le maître des lieux et partant, contre la volonté de l'ayant droit, ce qu'il ne pouvait ignorer. Il n'y a donc pas de place pour une erreur. Sa culpabilité d'infraction à l'art. 186 CP sera ainsi confirmée et l'appel rejeté. De la rupture de ban</w:t>
      </w:r>
    </w:p>
    <w:p>
      <w:r>
        <w:rPr>
          <w:b/>
        </w:rPr>
        <w:t>E. 2.6.4</w:t>
      </w:r>
    </w:p>
    <w:p>
      <w:r>
        <w:t>L'appelant ne peut être suivi lorsqu'il allègue ne s'être souvenu faire l'objet d'une interdiction d'entrée en Suisse qu'au moment de son interpellation par les agents de sécurité du magasin C______. En effet, il ressort de ses déclarations qu'il a reconnu de manière constante avoir pénétré sur le territoire helvétique en vue de se procurer de la drogue à Genève ; il appert donc qu'au moment de traverser la frontière, il était en pleine possession de ses facultés, lesquelles n'étaient, à le suivre, pas encore altérées par des substances. De plus, en première instance, il a admis que la perspective de consommer du crack ne valait tout compte fait pas la peine de commettre une infraction mais que l'attrait de la drogue avait été plus fort que la raison. En outre, comme il l'a lui-même souligné devant le MP, il avait déjà été condamné à quatre reprises pour cette infraction, la dernière fois 18 jours plus tôt, de sorte qu'il savait pertinemment faire l'objet d'une telle mesure, étant précisé qu'il a spontanément avoué devant la police s'être rendu à Genève quand bien même il savait ne pas avoir le droit d'être en Suisse. Ainsi, l'argument inédit soulevé en appel selon lequel il souffre d'oublis à répétition en raison de son TDHA n'emporte pas non plus conviction. Au vu de ce qui précède, sa culpabilité du chef de rupture de ban sera confirmée et l'appel rejeté.</w:t>
      </w:r>
    </w:p>
    <w:p>
      <w:r>
        <w:rPr>
          <w:b/>
        </w:rPr>
        <w:t>E. 3</w:t>
      </w:r>
    </w:p>
    <w:p>
      <w:r>
        <w:t>3.1. L'infraction de vol d'importance mineure (art. 139 ch. 1 cum 172 ter CP) est réprimée de l'amende, tandis que celles de violation de domicile (art. 186 CP) et de rupture de ban (art. 291 al. 1 CP) prévoient peine privative de liberté de trois ans au plus ou 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3.4</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arrêts du Tribunal fédéral 6B_1339/2016 du 23 mars 2017 consid. 1.1.1).</w:t>
      </w:r>
    </w:p>
    <w:p>
      <w:r>
        <w:rPr>
          <w:b/>
        </w:rPr>
        <w:t>E. 3.5</w:t>
      </w:r>
    </w:p>
    <w:p>
      <w:r>
        <w:t>Selon l'art. 19 al. 2 CP, le juge atténue la peine si, au moment d'agir, l'auteur ne possédait que partiellement la faculté d'apprécier le caractère illicite de son acte ou de se déterminer d'après cette appréciation. Si l'auteur pouvait éviter l'irresponsabilité ou la responsabilité restreinte et prévoir l'acte commis en cet état, les al. 1 à 3 ne sont pas applicables (al. 4).</w:t>
      </w:r>
    </w:p>
    <w:p>
      <w:r>
        <w:rPr>
          <w:b/>
        </w:rPr>
        <w:t>E. 3.6</w:t>
      </w:r>
    </w:p>
    <w:p>
      <w:r>
        <w:t>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w:t>
      </w:r>
    </w:p>
    <w:p>
      <w:r>
        <w:rPr>
          <w:b/>
        </w:rPr>
        <w:t>E. 3.7</w:t>
      </w:r>
    </w:p>
    <w:p>
      <w:r>
        <w:t>En l'espèce, la faute de l'appelant n'est pas négligeable. Il a agi par pure convenance personnelle ainsi que par appât d'un gain facile, tout en témoignant d'un mépris marqué pour l'ordre juridique suisse et les décisions dont il fait l'objet. Si la période pénale est très courte, ses agissements n'ont pris fin qu'en raison d'un élément extérieur indépendant de sa volonté, à savoir son interpellation par la sécurité du magasin. Sa situation personnelle ne justifie pas ses actes, étant souligné qu'il est entouré d'une famille aimante et soutenante, ainsi que ce cela ressort des attestations produites. Sa collaboration est mauvaise en ce qu'il a cherché par tous les moyens à se défausser de sa responsabilité. Sa prise de conscience ne semble amorcée qu'en ce qui concerne l'interdiction d'entrée en Suisse. Ses antécédents sont nombreux et spécifiques pour la plupart, étant relevé que sa dernière condamnation remonte à seulement un mois et demi avant les faits. Sa responsabilité est pleine et entière. En particulier, aucune diminution n'est établie en lien avec sa poly-addiction et son TDHA à teneur du dossier, étant rappelé que la pleine responsabilité est présumée. Il y a concours d'infractions, facteur aggravant de la peine, ainsi qu'un cumul d'infractions punissables de peine de genre différent. Dans la mesure où les maux psychiques dont se plaint l'appelant sont des conséquences indirectes de ses actes et découlent essentiellement de la sanction, les conditions d'une exemption de peine ne sont pas non plus réalisées. En outre, sa culpabilité et la portée de ses actes ne sont pas négligeables. Eu égard à ces nombreux antécédents, pour la plupart spécifiques, seule une peine privative de liberté est envisageable, étant souligné que l'appelant a déjà fait l'objet de cinq condamnations à des peines privatives de liberté fermes pour des faits similaires, en 2018, 2019, 2021 et 2023, qui ne l'ont à l'évidence pas dissuadé de récidiver. Son pronostic est résolument défavorable, de sorte que le sursis est exclu. Compte tenu du fait qu'il s'agit de sa cinquième rupture de ban, cette infraction justifierait à elle seule une peine privative de liberté de base de 10 mois, laquelle devrait être augmentée de deux mois supplémentaires pour réprimer la violation de domicile (peine hypothétique de trois mois), soit un total de 12 mois. Ainsi, en vertu de l'interdiction de la reformatio in pejus, la peine privative de liberté de huit mois prononcée par le premier juge sera confirmée. L'amende en CHF 300.- sera également confirmée en ce qu'elle sanctionne adéquatement le vol d'importance mineure. La non-révocation du sursis accordé le 28 janvier 2023 est quant à elle acquise à l'appelant.</w:t>
      </w:r>
    </w:p>
    <w:p>
      <w:r>
        <w:rPr>
          <w:b/>
        </w:rPr>
        <w:t>E. 4</w:t>
      </w:r>
    </w:p>
    <w:p>
      <w:r>
        <w:t>4.1.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 arrêt du Tribunal fédéral 6B_607/2018 du 10 octobre 2018 consid. 1.4.1).</w:t>
      </w:r>
    </w:p>
    <w:p>
      <w:r>
        <w:rPr>
          <w:b/>
        </w:rPr>
        <w:t>E. 4.2</w:t>
      </w:r>
    </w:p>
    <w:p>
      <w:r>
        <w:t>En l'espèce, l'intérêt public à expulser l'appelant du territoire helvétique où il a commis pléthore de délits depuis 2018 l'emporte sur ses intérêts privés à rester, ce d'autant qu'il n'a aucun lien avec ce pays. Cette mesure n'est pas disproportionnée et il n'est pas possible de garantir que l'appelant s'exécute de son plein gré. Par ailleurs, celui-ci ne peut être suivi lorsqu'il indique que son renvoi en Espagne le précariserait et l'empêcherait de rejoindre sa famille en France, dans la mesure où celle-ci est disposée à lui venir en aide, d'une part, et qu'il existe des possibilités de réinsertion dans son pays, d'autre part, étant rappelé qu'en tout état son projet est de se rendre au Maroc. Enfin, les potentiels risques de rechutes ne sont que pures suppositions et l'appelant ne saurait tirer d'argument d'un futur manquement de sa part. Au vu de ce qui précède, cette mesure sera confirmée, de même que sa durée arrêtée à cinq ans. En définitive, le jugement de première instance sera intégralement confirmé.</w:t>
      </w:r>
    </w:p>
    <w:p>
      <w:r>
        <w:rPr>
          <w:b/>
        </w:rPr>
        <w:t>E. 5</w:t>
      </w:r>
    </w:p>
    <w:p>
      <w:r>
        <w:t>L'appelant, qui succombe, supportera les frais de la procédure envers l'État (art. 428 CPP), lesquels comprendront un émolument d'arrêt en CHF 1'500.-. Vu l'issue de la procédure, il n'y a pas lieu de revoir la répartition des frais de première instance.</w:t>
      </w:r>
    </w:p>
    <w:p>
      <w:r>
        <w:rPr>
          <w:b/>
        </w:rPr>
        <w:t>E. 6</w:t>
      </w:r>
    </w:p>
    <w:p>
      <w:r>
        <w:t>Eu égard au verdict de culpabilité, l'appelant sera débouté de ses conclusions en indemnisation (art. 429 CPP a contrario).</w:t>
      </w:r>
    </w:p>
    <w:p>
      <w:r>
        <w:rPr>
          <w:b/>
        </w:rPr>
        <w:t>E. 7</w:t>
      </w:r>
    </w:p>
    <w:p>
      <w:r>
        <w:t>7.1.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disposition prescrit que l'indemnité, en matière pénale, est calculée selon le tarif horaire, débours de l'étude inclus, de CHF 200.- pour un chef d'étude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7.3</w:t>
      </w:r>
    </w:p>
    <w:p>
      <w:r>
        <w:t>En l'occurrence, l'activité facturée en appel apparait légèrement disproportionnée, compte tenu de la nature du dossier, maîtrisé par une avocate expérimentée de surcroit. Le temps consacré à la rédaction du mémoire d'appel sera réduit de 3h00. Par ailleurs, l'entretien téléphonique de 0h30 avec la sœur de l'appelant sera écarté, dans la mesure où il n'est pas nécessaire à la bonne conduite du mandat, voire relève de la majoration forfaitaire qui sera ramenée à 10%, vu le nombre d'heures décompté depuis le début du mandat. En conclusion, la rémunération de M e B______, défenseure d'office de A______, sera arrêtée à CHF 4'596.70, correspondant à 19h10 heures d'activité au tarif de CHF 200.-/heure, augmentées de la majoration forfaitaire de 10% (CHF 383.35) et l'équivalent de la TVA au taux variant de 7.7% à 8.1% (CHF 29.65 + CHF 310.35) et les débours en CHF 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