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P/18920/2013 vom 27. November 2015</w:t>
      </w:r>
    </w:p>
    <w:p>
      <w:r>
        <w:t>GE Cour de justice, 2015-11-27, FR</w:t>
      </w:r>
    </w:p>
    <w:p>
      <w:r>
        <w:rPr>
          <w:b/>
        </w:rPr>
        <w:t xml:space="preserve">Quelle: </w:t>
      </w:r>
      <w:r>
        <w:t>https://mcp.opencaselaw.ch/entscheid/ge_gerichte_P_18920_2013</w:t>
      </w:r>
    </w:p>
    <w:p>
      <w:r>
        <w:t>FR: GE_GERICHTE P/18920/2013 du 27 novembre 2015</w:t>
      </w:r>
    </w:p>
    <w:p>
      <w:r>
        <w:t>IT: GE_GERICHTE P/18920/2013 del 27 novembre 2015</w:t>
      </w:r>
    </w:p>
    <w:p>
      <w:pPr>
        <w:pStyle w:val="Heading2"/>
      </w:pPr>
      <w:r>
        <w:t>Regeste</w:t>
      </w:r>
    </w:p>
    <w:p>
      <w:r>
        <w:t>IN DUBIO PRO REO; POUVOIR D'APPRÉCIATION; LÉSION CORPORELLE PAR NÉGLIGENCE; LIEN DE CAUSALITÉ; CIRCULATION ROUTIÈRE(TRAFIC ROUTIER); MARCHE ARRIÈRE; RÈGLE DE LA CIRCULATION; ARRÊT(CIRCULATION ROUTIÈRE); FIXATION DE LA PEINE; ANTÉCÉDENT; PRONOSTIC; RÉPARTITION DES FRAIS | CP.125.1; CP.12.3; LCR.26; LCR.31.1; OCR.3.1; LCR.36.4; OCR.17.1; LCR.37.2; CP.34; CP.47; CP.46; CPP.433.1; CPP.122.4; CPP.426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2.2.2.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2.2.3. Un comportement est la cause naturelle d'un résultat s'il en constitue l'une des conditions sine qua non ,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2.2.4.1. À teneur de l'art. 26 de la Loi fédérale sur la circulation routière (LCR – RS 741.01), chacun doit se comporter, dans la circulation, de manière à ne pas gêner ni mettre en danger ceux qui utilisent la route conformément aux règles établies. Selon l'art. 31 al. 1 LCR en relation avec l'art. 3 al. 1 de l'Ordonnance sur les règles de la circulation routière du 13 novembre 1962 (OCR – RS 741.11), l'attention que le conducteur doit vouer à la route et à la circulation exige qu'il embrasse du regard toute la largeur de la chaussée et non seulement ce qui se passe immédiatement devant lui, sur la partie de la route qu'il emprunte. La jurisprudence a atténué ce principe dans certaines hypothèses ; elle a en particulier admis qu'on ne peut exiger du conducteur qu'il prenne garde à des événements qui se produisent à l'extérieur de l'endroit où se déroule la circulation. Le degré de l'attention doit être apprécié au regard de toutes les circonstances, notamment de la densité du trafic, de la configuration des lieux, de l'heure, de la visibilité et des sources de dangers prévisibles (ATF 116 IV 230 consid. 2 p. 232, JT 1990 I 688 , p. 689). 2.2.4.2. Le conducteur qui veut, notamment, faire marche arrière ne doit pas entraver les autres usagers de la route ; ces derniers bénéficiant de la priorité (art. 36 al. 4 LCR). De plus, au cas où la visibilité serait bouchée, le conducteur devra être aidé dans sa manœuvre par un tiers (art. 17 al. 1 OCR – arrêt du Tribunal fédéral 1B_1/2011 du 20 avril 2011 consid. 5.3.). 2.2.4.3. Aux termes de l'art. 37 al. 2 LCR, les véhicules ne seront arrêtés ni parqués aux endroits où ils pourraient gêner ou mettre en danger la circulation. Un véhicule gène le trafic au sens de cette disposition s'il constitue un obstacle important, propre à provoquer des accidents malgré l'attention requise des autres usagers de la route ou à entraver notablement leur circulation (arrêt du Tribunal fédéral 4A_83/2015 du 15 juin 2015 consid. 3.1 et les références citées). L'art. 18 al. 1 OCR, précise que les conducteurs s'arrêteront si possible hors de la chaussée, et que, le cas échéant, ils ne placeront leur véhicule qu'à son bord et parallèlement à l'axe de circulation. En effet, une position oblique pourrait créer un danger pour le trafic longitudinal (A. BUSSY / B. RUSCONI / Y. JEANNERET / A. KUHN / C. MIZEL / CH. MÜLLER, Code suisse de la circulation routière : commentaire , 4 e éd., Lausanne 2015, n. 3.2 ad art. 18 OCR). L'arrêt volontaire sur la voie publique au sens des art. 37 al. 2 LCR et 18 OCR ne vise ni l’immobilisation due à la circulation ou à la signalisation routière ni l'arrêt de nécessité, soit l'interruption immédiate de la conduite rendue nécessaire pour des questions de sécurité (R. SCHAFFHAUSER, Grundriss des schweizerischen Strassenverkehrsrecht , Stämpfli Verlag AG, Berne, 2002, n° 795 et 796 pp. 360 et 361).</w:t>
      </w:r>
    </w:p>
    <w:p>
      <w:r>
        <w:rPr>
          <w:b/>
        </w:rPr>
        <w:t>E. 2.3</w:t>
      </w:r>
    </w:p>
    <w:p>
      <w:r>
        <w:t>En l'espèce, le tribunal de première instance a correctement apprécié les faits (" […] il paraît étonnant que le scootériste n'ait pas aperçu le véhicule à temps si ce dernier était à l'arrêt […] "), mais n'est pas parvenu à la seule conclusion qu'il fallait tirer, à savoir que le choc entre les véhicules respectifs de l'appelant et de l'intimé a été nécessairement causé par la manœuvre de recul entreprise par l'intimé. À titre préliminaire, il convient de garder à l'esprit que la chaussée était sèche et non obstruée et que la voiture de l'intimé empiétait davantage sur la chaussée par rapport à ce que montrent les photographies, la voiture ayant été déplacée en direction du trottoir pour dégager l'appelant coincé sous le pare choc arrière. Celle-ci était donc nettement visible pour le scootériste à son approche. Si, comme le prétend l'intimé, son véhicule avait été immobile, rien ne permettrait d'expliquer la chute du scootériste plusieurs mètres avant le point de choc, laquelle est attestée par les marques de ripage présentes sur la chaussée entre la fin de la palissade et ce qui semblerait être le point de choc. Seul un freinage d'urgence, effet de la surprise de l'appelant face à la manœuvre de recul de l'intimé, caché par la palissade jusqu'au moment de son empiètement sur la route, permet d'expliquer le déséquilibre du scootériste, le renversement de son véhicule et leur glissade pour aller s'encastrer sous la voiture de l'intimé. Si seule une inattention du scootériste était en cause, il n'aurait pas eu à freiner vigoureusement à ce moment, soit plusieurs mètres avant le point de choc, et son véhicule, voire son corps, auraient alors percuté la voiture de l'intimé. S'en serait suivi d'autres dommages que des marques visibles sur la gauche du pare-chocs arrière, ce que l'intimé ne conteste pas. Rien ne montre que le deux-roues circulait à une vitesse inadaptée. Ce véhicule sortait d'une zone limitée à 30hm/h, vitesse que l'appelant dit avoir respectée, en direction d'une intersection, point de réunion entre la zone de l'accident et une route densément occupée. Il serait invraisemblable, alors que la taille de la chaussée était réduite par les palissades, que l'appelant ait circulé à une vitesse telle qu'il n'aurait vu qu'au dernier moment le véhicule de l'intimé immobilisé sur la chaussée si l'on s'en tenait à la version de ce dernier. Le fait que l'intimé aurait eu l'espace nécessaire pour effectuer une manœuvre dans le sens de marche avant ne signifie pas encore qu'il aurait, en l'espèce, choisi cette option. Il ne l'a d'ailleurs pas prétendu. L'orientation des roues de la voiture à droite indique au contraire sa volonté de manœuvrer afin de regagner l'avenue D______ par une marche arrière. À cet égard, il était nécessaire, pour permettre le dégagement de l'appelant, que la voiture effectue le chemin exactement inverse à celui à l'origine de l'accident. Dans ces conditions, un déplacement des roues de la voiture aurait donc été parfaitement inutile, voire dangereux. Cela étant, il convient dès lors de déterminer si les agissements de l'intimé constituent une violation des règles de la circulation routière afin déterminer si une infraction commise par négligence peut lui être reprochée. L'intimé ne bénéficiait d'aucune visibilité du fait de la palissade entourant le chantier, alors que sa vision devait porter sur la direction qu'il empruntait. Il lui était donc interdit d'effectuer une manœuvre de recul sans l'aide d'une tierce personne. Partant, il a violé les règles de prudence qu'il lui revenait d'adopter et a, ce faisant, obligé l'appelant à freiner d'urgence, ce qui lui a causé, selon la description des faits retenus supra, des blessures dont la nature et la gravité ne sont pas contestées. La solution ne serait pas différente si l'on retenait la version de l'intimé, à savoir qu'il serait resté au volant de son véhicule, immobilisé au milieu de la chaussée, le temps de réfléchir à ce qu'il devait faire après ne pas avoir trouvé de parking. En effet, un tel comportement, son véhicule placé perpendiculairement au sens de circulation, contreviendrait également aux prescriptions topiques en la matière et constituerait une violation d'une règle de prudence. L'intimé étant de plus caché pour partie par la palissade, il constituait un danger certain pour les autres usagers de la route, visible tardivement par le scootériste. Partant, dans ce cas également, l'intimé serait à l'origine des blessures du scootériste. En conséquence, l'intimé sera reconnu coupable du chef d'infraction de lésions corporelles par négligence et le jugement querellé réformé en conséquence.</w:t>
      </w:r>
    </w:p>
    <w:p>
      <w:r>
        <w:rPr>
          <w:b/>
        </w:rPr>
        <w:t>E. 3</w:t>
      </w:r>
    </w:p>
    <w:p>
      <w:r>
        <w:t>3.1.1.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3.1.2.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 3.1.3.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3.1.5. Sur le plan objectif, seules les peines de six mois à deux ans peuvent être assorties du sursis total (cf.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w:t>
      </w:r>
    </w:p>
    <w:p>
      <w:r>
        <w:rPr>
          <w:b/>
        </w:rPr>
        <w:t>E. 3.2</w:t>
      </w:r>
    </w:p>
    <w:p>
      <w:r>
        <w:t>En l'espèce, la faute de l'intimé n'est pas anodine. Il a manœuvré son véhicule automobile en marche arrière, manœuvre délicate en soi, alors qu'il ne disposait d'aucune visibilité, ce sans le moindre égard pour les autres usagers de la route, causant de la sorte des blessures à un scootériste, vulnérable. Il a violé une règle élémentaire de sécurité routière, en renonçant à une aide nécessaire dans sa délicate manœuvre. Son mobile est partant égoïste. Sa collaboration à la procédure est médiocre. Il a toujours contesté avoir commis une faute et fourni des explications invraisemblables Corollairement, sa prise de conscience est mauvaise. Il ne manifeste aucun remord et aucune empathie vis-à-vis de la partie plaignante et persiste à penser qu'il n'a commis aucune erreur. Il refuse d'assumer ses responsabilités alors qu'il n'est plus un jeune adulte et est père de famille. Ses antécédents sont mauvais, et spécifique pour le plus récent, s'agissant d'une infraction aux règles de la circulation routière. Les précédentes condamnations assorties du sursis n'ont pas dissuadé l'intimé de persévérer dans des comportements répréhensibles, ce qui constitue un élément défavorable pertinent pour l'examen du sursis même en relation avec des infractions d'un autre type que celles sanctionnées (arrêt du tribunal fédéral 6B_1045/2008 du 20 mars 2009 consid. 4.4 ; ATF 100 IV 133 consid. 1d p. 137 ; 98 IV 76 consid. 2 p. 82 ; v. également R. SCHNEIDER / R. GARRÉ, Basler Kommentar, Strafrecht I , 2 e éd., 2007, n. 59 ad art. 42). Qui plus est, l'infraction présentement reprochée a été commise durant le dernier délai d'épreuve octroyé. Sa situation personnelle, certes précaire, ne présente pas de particularité, étant précisé que la présence d'un nouveau-né n'est pas pertinente, l'intimé étant déjà père lors de sa précédentes condamnation. Aucune circonstance atténuante n'est réalisée, ni plaidée d'ailleurs. Le prévenu présente un pronostic défavorable vu ses antécédents récents, en particulier, sa dernière condamnation qui porte sur une infraction de même nature. Une peine ferme s'avère donc nécessaire pour éviter la commission de nouvelle infraction à l'avenir. Ce nonobstant, la Chambre de céans renoncera à révoquer le sursis précédemment octroyé, vu le prononcé d'une peine ferme permettant d'escompter que l'intimé ne réitérera pas ses agissements répréhensibles. Compte tenu de qui précède, la Chambre de céans estime le prononcé d'une peine pécuniaire de 60 jours-amende comme adéquate. Dans la mesure où la situation personnelle de l'intimé n'apparaît pas sous un jour favorable, la peine pécuniaire sera fixée à CHF 30.- l'unité. Le jugement querellé sera annulé et réformé en conséquence.</w:t>
      </w:r>
    </w:p>
    <w:p>
      <w:r>
        <w:rPr>
          <w:b/>
        </w:rPr>
        <w:t>E. 4</w:t>
      </w:r>
    </w:p>
    <w:p>
      <w:r>
        <w:t>4.1.1. La partie plaignante obtient gain de cause au sens de l'art. 433 al. 1 CPP lorsque le prévenu est condamné ou si les prétentions civiles sont admises (M. NIGGLI /M. HEER / H. WIPRÄCHTIGER (éds), Strafprozessordnung Jugendstrafprozessordnung, Basler Kommentar StPO/JStPO , 2 e éd., Bâle 2014, n. 10 ad art. 433 ; N. SCHMID, Schweizerische Strafprozessordnung, Praxiskom- mentar, 2 e éd.,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 Bâle 2011, nos 8 ss ad art. 433 CPP ; N. SCHMID, op. cit. , 2013, n. 3 ad art. 433).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 ACPR/532/2014 du 14 novembre 2014 ; M. NIGGLI / M. HEER / H. WIPRÄCHTIGER, op. cit. , n. 19 ad art. 429). 4.1.2. L'art. 433 CPP, applicable en instance de recours (art. 436 al. 1 CPP), qui impose au plaignant de chiffrer et de justifier ses prétentions, s'explique par le fait que la maxime d'instruction ne s'applique pas à l'égard de la partie plaignante : celle-ci doit demeurer active et demander elle-même une indemnisation (arrêt du Tribunal fédéral 1B_475/2011 du 11 janvier 2012 ; M. NIGGLI / M. HEER / H. WIPRÄCHTIGER (éds), Schweizerische Strafprozessordnung / Schweizerische Jugendstrafprozessordnung, Basler Kommentar StPO/JStPO , 2 e éd., Bâle 2014, n. 22 ad art. 433 ; A. KUHN / Y. JEANNERET (éds), Commentaire romand : Code de procédure pénale suisse , Bâle 2011, n. 13 ad art. 433). 4.1.3. À teneur de l'art. 436 al. 3 CPP, si l'autorité de recours annule une décision conformément à l'art. 409 CPP, les parties ont droit à une juste indemnité pour les dépenses occasionnées par la procédure de recours et par la partie annulée de la procédure de première instance. 4.1.4. L'art. 433 al. 1 let. a CPP, signifie que, si la partie plaignante a conclu à une indemnité dans une procédure de recours où elle a gain de cause, cette indemnité sera mise à la charge du prévenu, non de l'État ( ACPR/140/2013 du 12 avril 2013 ; ACPR/230/2013 du 8 mai 2013). 4.2.1. À titre liminaire, il convient de relever qu'il n'appartient pas à la Chambre de céans de fixer ex aequo et bono l'indemnité due à l'appelant (partie plaignante) au titre de ses dépenses occasionnée par la procédure d'appel en l'absence de conclusions précises et de pièces justificatives. Il ne sera donc pas entré en matière sur ce point, étant rappelé que son attention avait été précisément attirée dans les considérants de l'ordonnance présidentielle susmentionnée. Pour ce qui est de la procédure préliminaire et de première instance, la Chambre de céans considère les conclusions motivées présentées devant le tribunal de première instance pour les dépenses obligatoires occasionnées comme globalement adéquates. Aussi, l'intimé sera condamné à payer à l'appelant la somme de CHF 5'898.40. 4.2.2. L'appelant, qui s'était constitué demandeur au civil lors du dépôt de plainte (art. 118 al. 1 CPP), a demandé la réserve de ses droits avant la clôture de débats de première instance (art. 122 al. 4 CPP). La voie civile lui étant ainsi ouverte, il sera fait droit à sa requête (A. KUHN / Y. JEANNERET (éds), Commentaire romand : Code de procédure pénale suisse , Bâle 2011, n. 6 ad art. 122).</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L'appel étant admis dans son principe, à savoir la reconnaissance de culpabilité du prévenu, il convient de le condamner au frais de procédure de première instance. Au stade de l'appel, l'intimé succombe pour l'essentiel dans la mesure où il est reconnu coupable des faits qui lui sont reprochés, doit payer les frais d'avocat de l'appelant pour la première instance, outre les frais de première instance. L'appelant obtient gain de cause, à l'exception du paiement par l'intimé de dépenses occasionnées par la procédure d'appel, faute de motivation et de justification, ce qui est sommes toutes marginal au vu de l'ensemble des faits de la cause. Il convient dès lors de mettre à charge de l'intimé l'intégralité des frais de procédure d'appel, lesquels comprennent un émolument de CHF 2'000.- (art.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